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kg-20260722.htm"/>
      <w:bookmarkStart w:id="1" w:name="kspkg20260722"/>
      <w:bookmarkEnd w:id="0"/>
      <w:bookmarkEnd w:id="1"/>
      <w:r>
        <w:rPr/>
        <w:t> </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4" w:space="1" w:color="000000"/>
        </w:pBdr>
        <w:bidi w:val="0"/>
        <w:jc w:val="center"/>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CURRENT REPORT</w:t>
            </w:r>
          </w:p>
        </w:tc>
      </w:tr>
      <w:tr>
        <w:trPr/>
        <w:tc>
          <w:tcPr>
            <w:tcW w:w="346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Pursuant to Section 13 OR 15(d)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The Securities Exchange Act of 1934</w:t>
            </w:r>
          </w:p>
        </w:tc>
      </w:tr>
    </w:tbl>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Date of Report (Date of earliest event reported): July 22, 2026</w:t>
      </w:r>
    </w:p>
    <w:p>
      <w:pPr>
        <w:pStyle w:val="TextBody"/>
        <w:pBdr>
          <w:bottom w:val="single" w:sz="4" w:space="1" w:color="000000"/>
        </w:pBdr>
        <w:bidi w:val="0"/>
        <w:spacing w:before="0" w:after="120"/>
        <w:jc w:val="center"/>
        <w:rPr/>
      </w:pPr>
      <w:r>
        <w:rPr/>
        <w:t> </w:t>
      </w:r>
    </w:p>
    <w:p>
      <w:pPr>
        <w:pStyle w:val="TextBody"/>
        <w:bidi w:val="0"/>
        <w:jc w:val="center"/>
        <w:rPr/>
      </w:pPr>
      <w:r>
        <w:rPr/>
        <w:drawing>
          <wp:inline distT="0" distB="0" distL="0" distR="0">
            <wp:extent cx="10287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857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spacing w:before="0" w:after="12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1-15399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36-4277050</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 North Field Court, Lake Forest, Illinois</w:t>
      </w:r>
      <w:r>
        <w:rPr>
          <w:rFonts w:ascii="Times New Roman" w:hAnsi="Times New Roman"/>
          <w:color w:val="000000"/>
          <w:sz w:val="20"/>
        </w:rPr>
        <w:t xml:space="preserve"> </w:t>
      </w:r>
      <w:r>
        <w:rPr>
          <w:rFonts w:ascii="Times New Roman" w:hAnsi="Times New Roman"/>
          <w:b/>
          <w:color w:val="000000"/>
          <w:sz w:val="20"/>
        </w:rPr>
        <w:t>60045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482-3000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registrants under any of the following provisions:</w:t>
      </w:r>
    </w:p>
    <w:tbl>
      <w:tblPr>
        <w:tblW w:w="8402" w:type="dxa"/>
        <w:jc w:val="left"/>
        <w:tblInd w:w="0" w:type="dxa"/>
        <w:tblLayout w:type="fixed"/>
        <w:tblCellMar>
          <w:top w:w="28" w:type="dxa"/>
          <w:left w:w="28" w:type="dxa"/>
          <w:bottom w:w="28" w:type="dxa"/>
          <w:right w:w="28" w:type="dxa"/>
        </w:tblCellMar>
      </w:tblPr>
      <w:tblGrid>
        <w:gridCol w:w="331"/>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14d-2 (b) under the Exchange Act (17 CFR 240.14d-2 (b))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13e-4 (c) under the Exchange Act (17 CFR 240.13e-4 (c))</w:t>
            </w:r>
          </w:p>
        </w:tc>
      </w:tr>
    </w:tbl>
    <w:p>
      <w:pPr>
        <w:pStyle w:val="TextBody"/>
        <w:bidi w:val="0"/>
        <w:spacing w:before="180" w:after="283"/>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spacing w:before="180" w:after="283"/>
        <w:jc w:val="left"/>
        <w:rPr/>
      </w:pPr>
      <w:r>
        <w:rPr/>
        <w:t> </w:t>
      </w:r>
    </w:p>
    <w:tbl>
      <w:tblPr>
        <w:tblW w:w="6003" w:type="dxa"/>
        <w:jc w:val="left"/>
        <w:tblInd w:w="0" w:type="dxa"/>
        <w:tblLayout w:type="fixed"/>
        <w:tblCellMar>
          <w:top w:w="28" w:type="dxa"/>
          <w:left w:w="28" w:type="dxa"/>
          <w:bottom w:w="28" w:type="dxa"/>
          <w:right w:w="28" w:type="dxa"/>
        </w:tblCellMar>
      </w:tblPr>
      <w:tblGrid>
        <w:gridCol w:w="1351"/>
        <w:gridCol w:w="1426"/>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PKG</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22, 2026, Packaging Corporation of America issued a press release announcing second quarter financial results. The press release is furnished as Exhibit 99.1 and is incorporated into this Item 2.02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kg-ex99_1.htm">
              <w:r>
                <w:rPr>
                  <w:rStyle w:val="InternetLink"/>
                  <w:rFonts w:ascii="Times New Roman" w:hAnsi="Times New Roman"/>
                  <w:color w:val="0000FF"/>
                  <w:sz w:val="20"/>
                  <w:u w:val="single"/>
                </w:rPr>
                <w:t>Second Quarter 2026 Earnings Press Release dated July 22, 2026</w:t>
              </w:r>
            </w:hyperlink>
          </w:p>
        </w:tc>
      </w:tr>
      <w:tr>
        <w:trPr/>
        <w:tc>
          <w:tcPr>
            <w:tcW w:w="4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registrants have duly caused this report to be signed on their behalf by the undersigned hereunto duly authorized.</w:t>
      </w:r>
    </w:p>
    <w:p>
      <w:pPr>
        <w:pStyle w:val="TextBody"/>
        <w:bidi w:val="0"/>
        <w:jc w:val="both"/>
        <w:rPr/>
      </w:pPr>
      <w:r>
        <w:rPr/>
        <w:t> </w:t>
      </w:r>
    </w:p>
    <w:tbl>
      <w:tblPr>
        <w:tblW w:w="5135" w:type="dxa"/>
        <w:jc w:val="left"/>
        <w:tblInd w:w="0" w:type="dxa"/>
        <w:tblLayout w:type="fixed"/>
        <w:tblCellMar>
          <w:top w:w="28" w:type="dxa"/>
          <w:left w:w="28" w:type="dxa"/>
          <w:bottom w:w="28" w:type="dxa"/>
          <w:right w:w="28" w:type="dxa"/>
        </w:tblCellMar>
      </w:tblPr>
      <w:tblGrid>
        <w:gridCol w:w="161"/>
        <w:gridCol w:w="146"/>
        <w:gridCol w:w="146"/>
        <w:gridCol w:w="406"/>
        <w:gridCol w:w="42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3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 CORPORATION OF AMERICA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FABIAN C. STRAUSS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Senior Vice President, Finance, Controller and Treasurer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22,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kg-ex99_1.htm"/>
      <w:bookmarkStart w:id="3" w:name="kspkg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 REPORTS SECOND QUARTER 2026 RESULTS</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Lake Forest, IL, July 22, 2026</w:t>
      </w:r>
      <w:r>
        <w:rPr>
          <w:rFonts w:ascii="Times New Roman" w:hAnsi="Times New Roman"/>
          <w:color w:val="000000"/>
          <w:sz w:val="20"/>
        </w:rPr>
        <w:t xml:space="preserve"> – Packaging Corporation of America (NYSE: PKG) today reported second quarter 2026 net income of $192 million, or $2.15 per share, and net income of $210 million, or $2.35 per share, excluding special items. Second quarter net sales were $2.5 billion in 2026 and $2.2 billion in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93"/>
        <w:gridCol w:w="261"/>
        <w:gridCol w:w="378"/>
        <w:gridCol w:w="836"/>
        <w:gridCol w:w="261"/>
        <w:gridCol w:w="261"/>
        <w:gridCol w:w="378"/>
        <w:gridCol w:w="943"/>
        <w:gridCol w:w="297"/>
        <w:gridCol w:w="261"/>
        <w:gridCol w:w="378"/>
        <w:gridCol w:w="943"/>
        <w:gridCol w:w="215"/>
      </w:tblGrid>
      <w:tr>
        <w:trPr/>
        <w:tc>
          <w:tcPr>
            <w:tcW w:w="479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99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Diluted earnings per share attributable to Packaging Corporation of America shareholders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Diluted EPS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Special Items Expense/(Income) </w:t>
            </w:r>
            <w:r>
              <w:rPr>
                <w:rFonts w:ascii="Times New Roman" w:hAnsi="Times New Roman"/>
                <w:color w:val="000000"/>
                <w:sz w:val="13"/>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Diluted EPS excluding Special Items </w:t>
            </w:r>
            <w:r>
              <w:rPr>
                <w:rFonts w:ascii="Times New Roman" w:hAnsi="Times New Roman"/>
                <w:color w:val="000000"/>
                <w:sz w:val="13"/>
              </w:rPr>
              <w:t>(2)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90"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For descriptions and amounts of our special items, see the schedules with this release.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0"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(2)</w:t>
            </w:r>
            <w:r>
              <w:rPr>
                <w:rFonts w:ascii="Times New Roman" w:hAnsi="Times New Roman"/>
                <w:color w:val="000000"/>
                <w:sz w:val="16"/>
              </w:rPr>
              <w:t> Diluted EPS excluding Special Items is a non-GAAP financial measure. For information regarding our use of non-GAAP financial measures and descriptions and amounts of our special items, see the schedules with this release.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Reported earnings in the second quarter of 2026 include special items primarily for facility closure costs and write-offs, costs related to the restructuring of the Wallula, WA containerboard mill and acquisition and integration-related costs. Reported earnings in the second quarter of 2025 included special items relating to gains on the sale of real estate in connection with the closure of corrugated products facilities, partially offset by acquisition and integration related costs.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Excluding special items, the ($.13) per share decrease in second quarter 2026 earnings compared to the second quarter of 2025 resulted from ($.27) lower earnings in the legacy business, partially offset by $.14 of earnings from the acquired Greif operations. The lower earnings in the legacy business was driven by higher freight costs ($0.26), higher corporate and other expenses ($.12), unfavorable price and mix in the packaging business ($.11), higher labor and operating costs ($.05), higher depreciation and amortization expenses ($.03), higher fiber costs ($.02), higher tax rate ($.02) and higher interest expense, excluding Greif acquisition indebtedness ($.01). These items were partially offset by higher production and sales volume in the packaging business $.26, lower maintenance outage expenses $.04, higher production and sales volume in the paper business $.03 and higher price and mix in the paper business $.02. The $.14 of Greif earnings during the quarter included a $0.04 benefit to depreciation expense due to measurement period adjustments for the valuation of certain fixed assets on the opening balance sheet of the acquired business.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Earnings were $.02 above second quarter guidance of $2.33 per share primarily due to favorable volume in the legacy packaging business, lower production costs in the legacy packaging business and higher than expected earnings from the acquired business due to favorable volume, price and mix, partially offset by higher-than-forecast costs for freight, recycled fiber and employee benefits.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information by segment is summarized below and in the schedules with this release.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95"/>
        <w:gridCol w:w="266"/>
        <w:gridCol w:w="385"/>
        <w:gridCol w:w="1044"/>
        <w:gridCol w:w="303"/>
        <w:gridCol w:w="266"/>
        <w:gridCol w:w="385"/>
        <w:gridCol w:w="1044"/>
        <w:gridCol w:w="217"/>
      </w:tblGrid>
      <w:tr>
        <w:trPr/>
        <w:tc>
          <w:tcPr>
            <w:tcW w:w="62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(dollars in millions)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operating income (loss)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291.2</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333.7</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Segment operating income (loss) excluding special items </w:t>
            </w:r>
            <w:r>
              <w:rPr>
                <w:rFonts w:ascii="Times New Roman" w:hAnsi="Times New Roman"/>
                <w:b/>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314.9</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EBITDA excluding special items </w:t>
            </w:r>
            <w:r>
              <w:rPr>
                <w:rFonts w:ascii="Times New Roman" w:hAnsi="Times New Roman"/>
                <w:b/>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Segment operating income (loss) excluding special items and EBITDA excluding special items are non-GAAP financial measures. We provide information regarding our use of non-GAAP financial measures and reconciliations of historical non-GAAP financial measures presented in this press release to the most comparable measure reported in accordance with GAAP in the schedules to this press release.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corrugated products shipments were up 24.3% per day and in total compared to the second quarter of 2025. In the legacy packaging business, corrugated products shipments were up 4.1% per day and in total compared to the second quarter of 2025, with the same number of shipping days in each period. Containerboard production was 1,415,000 tons, and containerboard inventory was down 25,000 tons compared to the first quarter of 2026 and up 40,000 tons compared to the second quarter of 2025, primarily due to the acquisition. In the Paper segment, sales volume was up 6.3% from the second quarter of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Commenting on reported results, Mark W. Kowlzan, Chairman and CEO, said, “We achieved an all-time quarterly record in total corrugated shipments in our legacy corrugated operations. Demand remained strong throughout the entire quarter, and we began to meaningfully realize the first of our previously announced price increases in the corrugated products business. The acquired Greif business contributed to earnings, driven by strong volumes at the corrugated plants and improved operational performance at the mills, with production consistently exceeding capabilities at the time of the acquisition. We continued to operate our mill system at full capacity and reduced export sales by approximately 30,000 tons from first quarter levels to support our corrugated products demand. Our volumes and outstanding operating performance across our businesses helped us mitigate significantly higher freight and recycled fiber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Kowlzan added, “Looking ahead as we move from the second quarter into the third quarter, we expect continued strong demand in the Packaging segment and corrugated products volume to increase with one more shipping day. Prices for containerboard and corrugated products will be higher as we complete the implementation of our first announced price increase and begin to realize our second announced price increase. Packaging mill production will be higher with one more operating day and lower impact to production from maintenance outages. We expect better operating performance across our containerboard mill system with continued improved capabilities from our Jackson mill and our acquired Greif mills. Mill maintenance outage expenses will be lower in total and in the Packaging segment and higher in the Paper segment with the scheduled outage at the International Falls mill. We expect lower volume and higher prices in the Paper segment as a result of the maintenance outage and the continued implementation of our previously announced paper price increases. We expect costs for freight to remain at or around the elevated levels we experienced in May and June and higher for the quarter. Prices for recycled fiber are continuing to increase and higher mill production will drive increased usage. Costs for chemicals and purchased electricity will be higher and will remain relatively flat for wood fiber and natural gas. We expect improvement in benefits costs due to second quarter unfavorability that is not expected to repeat in the third quarter. Considering these items, we expect third quarter earnings of $ 2.91 per share, excluding special items.”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present our earnings expectation for the upcoming quarter excluding special items as special items are difficult to predict and quantify and may reflect the effect of future events. We currently expect to incur acquisition and integration related costs and costs related to the closure of corrugated products facilities during the third quarter; however, additional special items may arise due to third quarter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PCA is the third largest producer of containerboard products and a leading producer of uncoated freesheet paper in North America. PCA operates ten mills and 90 corrugated products plants and related 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the statements in this press release are forward-looking statements. Forward-looking statements include statements about our future earnings and financial condition,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2025, and in subsequent quarterly reports on Form 10-Q, filed with the Securities and Exchange Commission and available at the SEC’s website at “www.sec.gov”.</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Barbara Sessions</w:t>
      </w:r>
    </w:p>
    <w:p>
      <w:pPr>
        <w:pStyle w:val="TextBody"/>
        <w:bidi w:val="0"/>
        <w:jc w:val="both"/>
        <w:rPr>
          <w:rFonts w:ascii="Times New Roman" w:hAnsi="Times New Roman"/>
          <w:color w:val="000000"/>
          <w:sz w:val="20"/>
        </w:rPr>
      </w:pPr>
      <w:r>
        <w:rPr>
          <w:rFonts w:ascii="Times New Roman" w:hAnsi="Times New Roman"/>
          <w:color w:val="000000"/>
          <w:sz w:val="20"/>
        </w:rPr>
        <w:t>Packaging Corporation of America</w:t>
      </w:r>
    </w:p>
    <w:p>
      <w:pPr>
        <w:pStyle w:val="TextBody"/>
        <w:bidi w:val="0"/>
        <w:jc w:val="both"/>
        <w:rPr>
          <w:rFonts w:ascii="Times New Roman" w:hAnsi="Times New Roman"/>
          <w:color w:val="000000"/>
          <w:sz w:val="20"/>
        </w:rPr>
      </w:pPr>
      <w:r>
        <w:rPr>
          <w:rFonts w:ascii="Times New Roman" w:hAnsi="Times New Roman"/>
          <w:color w:val="000000"/>
          <w:sz w:val="20"/>
        </w:rPr>
        <w:t>INVESTOR RELATIONS: (877) 454-2509</w:t>
      </w:r>
    </w:p>
    <w:p>
      <w:pPr>
        <w:pStyle w:val="TextBody"/>
        <w:bidi w:val="0"/>
        <w:jc w:val="both"/>
        <w:rPr>
          <w:rFonts w:ascii="Times New Roman" w:hAnsi="Times New Roman"/>
          <w:sz w:val="20"/>
        </w:rPr>
      </w:pPr>
      <w:r>
        <w:rPr>
          <w:rFonts w:ascii="Times New Roman" w:hAnsi="Times New Roman"/>
          <w:color w:val="000000"/>
          <w:sz w:val="20"/>
        </w:rPr>
        <w:t xml:space="preserve">PCA’s Website: </w:t>
      </w:r>
      <w:r>
        <w:rPr>
          <w:rFonts w:ascii="Times New Roman" w:hAnsi="Times New Roman"/>
          <w:sz w:val="20"/>
        </w:rPr>
        <w:t>www.packagingcorp.com</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Conference Call Information</w:t>
      </w:r>
      <w:r>
        <w:rPr>
          <w:rFonts w:ascii="Times New Roman" w:hAnsi="Times New Roman"/>
          <w:b/>
          <w:color w:val="000000"/>
          <w:sz w:val="20"/>
        </w:rPr>
        <w:t>:</w:t>
      </w:r>
    </w:p>
    <w:tbl>
      <w:tblPr>
        <w:tblW w:w="10205" w:type="dxa"/>
        <w:jc w:val="left"/>
        <w:tblInd w:w="0" w:type="dxa"/>
        <w:tblLayout w:type="fixed"/>
        <w:tblCellMar>
          <w:top w:w="28" w:type="dxa"/>
          <w:left w:w="28" w:type="dxa"/>
          <w:bottom w:w="28" w:type="dxa"/>
          <w:right w:w="28" w:type="dxa"/>
        </w:tblCellMar>
      </w:tblPr>
      <w:tblGrid>
        <w:gridCol w:w="4969"/>
        <w:gridCol w:w="5236"/>
      </w:tblGrid>
      <w:tr>
        <w:trPr/>
        <w:tc>
          <w:tcPr>
            <w:tcW w:w="4969"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WHAT:</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Packaging Corporation of America’s 2nd Quarter 2026 Earnings Conference Call</w:t>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Conference ID: Packaging Corporation of America</w:t>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WHEN:</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Thursday, July 23, 2026 at 9:00am Eastern Time</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PRE-REGISTRATION:</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https://dpregister.com/sreg/10205355/102fb95d496</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i/>
                <w:color w:val="000000"/>
                <w:sz w:val="20"/>
              </w:rPr>
            </w:pPr>
            <w:r>
              <w:rPr>
                <w:rFonts w:ascii="Times New Roman" w:hAnsi="Times New Roman"/>
                <w:b/>
                <w:i/>
                <w:color w:val="000000"/>
                <w:sz w:val="20"/>
              </w:rPr>
              <w:t>OR</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CALL-IN NUMBER:</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(833) 816-1102 (U.S.); (866) 605-3852 (Canada) or (412) 317-0684 (International)</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1008"/>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1008"/>
              <w:jc w:val="both"/>
              <w:rPr>
                <w:rFonts w:ascii="Times New Roman" w:hAnsi="Times New Roman"/>
                <w:color w:val="000000"/>
                <w:sz w:val="20"/>
              </w:rPr>
            </w:pPr>
            <w:r>
              <w:rPr>
                <w:rFonts w:ascii="Times New Roman" w:hAnsi="Times New Roman"/>
                <w:color w:val="000000"/>
                <w:sz w:val="20"/>
              </w:rPr>
              <w:t>Dial in by 8:45am Eastern Time</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WEBCAST INFO:</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sz w:val="20"/>
              </w:rPr>
            </w:pPr>
            <w:r>
              <w:rPr>
                <w:rFonts w:ascii="Times New Roman" w:hAnsi="Times New Roman"/>
                <w:sz w:val="20"/>
              </w:rPr>
              <w:t>www.packagingcorp.com</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DATES:</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sz w:val="20"/>
              </w:rPr>
            </w:pPr>
            <w:r>
              <w:rPr>
                <w:rFonts w:ascii="Times New Roman" w:hAnsi="Times New Roman"/>
                <w:color w:val="000000"/>
                <w:sz w:val="20"/>
              </w:rPr>
              <w:t>July 23, 2026 through August</w:t>
            </w:r>
            <w:r>
              <w:rPr>
                <w:rFonts w:ascii="Times New Roman" w:hAnsi="Times New Roman"/>
                <w:color w:val="FF0000"/>
                <w:sz w:val="20"/>
              </w:rPr>
              <w:t xml:space="preserve"> </w:t>
            </w:r>
            <w:r>
              <w:rPr>
                <w:rFonts w:ascii="Times New Roman" w:hAnsi="Times New Roman"/>
                <w:color w:val="000000"/>
                <w:sz w:val="20"/>
              </w:rPr>
              <w:t>6, 2026</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NUMBERS:</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(855) 669-9658 (U.S. and Canada); (412) 317-0088 (International)</w:t>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Passcode: 9358134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Consolidated Earnings Results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 except per-share data)</w:t>
      </w:r>
    </w:p>
    <w:p>
      <w:pPr>
        <w:pStyle w:val="TextBody"/>
        <w:bidi w:val="0"/>
        <w:jc w:val="center"/>
        <w:rPr/>
      </w:pPr>
      <w:r>
        <w:rPr/>
        <w:t> </w:t>
      </w:r>
    </w:p>
    <w:tbl>
      <w:tblPr>
        <w:tblW w:w="9247" w:type="dxa"/>
        <w:jc w:val="left"/>
        <w:tblInd w:w="0" w:type="dxa"/>
        <w:tblLayout w:type="fixed"/>
        <w:tblCellMar>
          <w:top w:w="28" w:type="dxa"/>
          <w:left w:w="28" w:type="dxa"/>
          <w:bottom w:w="28" w:type="dxa"/>
          <w:right w:w="28" w:type="dxa"/>
        </w:tblCellMar>
      </w:tblPr>
      <w:tblGrid>
        <w:gridCol w:w="3286"/>
        <w:gridCol w:w="211"/>
        <w:gridCol w:w="781"/>
        <w:gridCol w:w="166"/>
        <w:gridCol w:w="271"/>
        <w:gridCol w:w="211"/>
        <w:gridCol w:w="781"/>
        <w:gridCol w:w="166"/>
        <w:gridCol w:w="271"/>
        <w:gridCol w:w="211"/>
        <w:gridCol w:w="781"/>
        <w:gridCol w:w="166"/>
        <w:gridCol w:w="271"/>
        <w:gridCol w:w="211"/>
        <w:gridCol w:w="781"/>
        <w:gridCol w:w="166"/>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(2)</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047" w:type="dxa"/>
        <w:jc w:val="left"/>
        <w:tblInd w:w="0" w:type="dxa"/>
        <w:tblLayout w:type="fixed"/>
        <w:tblCellMar>
          <w:top w:w="28" w:type="dxa"/>
          <w:left w:w="28" w:type="dxa"/>
          <w:bottom w:w="28" w:type="dxa"/>
          <w:right w:w="28" w:type="dxa"/>
        </w:tblCellMar>
      </w:tblPr>
      <w:tblGrid>
        <w:gridCol w:w="5626"/>
        <w:gridCol w:w="211"/>
        <w:gridCol w:w="571"/>
        <w:gridCol w:w="166"/>
        <w:gridCol w:w="146"/>
        <w:gridCol w:w="211"/>
        <w:gridCol w:w="571"/>
        <w:gridCol w:w="166"/>
        <w:gridCol w:w="146"/>
        <w:gridCol w:w="211"/>
        <w:gridCol w:w="571"/>
        <w:gridCol w:w="166"/>
        <w:gridCol w:w="146"/>
        <w:gridCol w:w="211"/>
        <w:gridCol w:w="571"/>
        <w:gridCol w:w="166"/>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Computation of diluted earnings per share under the two class method:</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Distributed and undistributed income available to participating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PCA shareholders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 average shares outstanding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8672" w:type="dxa"/>
        <w:jc w:val="left"/>
        <w:tblInd w:w="0" w:type="dxa"/>
        <w:tblLayout w:type="fixed"/>
        <w:tblCellMar>
          <w:top w:w="28" w:type="dxa"/>
          <w:left w:w="28" w:type="dxa"/>
          <w:bottom w:w="28" w:type="dxa"/>
          <w:right w:w="28" w:type="dxa"/>
        </w:tblCellMar>
      </w:tblPr>
      <w:tblGrid>
        <w:gridCol w:w="4131"/>
        <w:gridCol w:w="211"/>
        <w:gridCol w:w="571"/>
        <w:gridCol w:w="146"/>
        <w:gridCol w:w="146"/>
        <w:gridCol w:w="211"/>
        <w:gridCol w:w="571"/>
        <w:gridCol w:w="146"/>
        <w:gridCol w:w="146"/>
        <w:gridCol w:w="211"/>
        <w:gridCol w:w="571"/>
        <w:gridCol w:w="146"/>
        <w:gridCol w:w="146"/>
        <w:gridCol w:w="211"/>
        <w:gridCol w:w="571"/>
        <w:gridCol w:w="146"/>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financial information:</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spending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marketable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The three and six months ended June 30, 2026 include the following:</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$14.1 million and $17.0 million, respectively, of charges consisting of closure costs related to corrugated products facilities and the write-off of charges related to renewable energy projects.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$6.3 million and $59.7 million, respectively, of charges related to the announced discontinuation of the No. 2 machine and kraft pulping facilities at the Wallula, Washington containerboard mill.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w:t>
      </w:r>
    </w:p>
    <w:p>
      <w:pPr>
        <w:pStyle w:val="TextBody"/>
        <w:bidi w:val="0"/>
        <w:jc w:val="both"/>
        <w:rPr>
          <w:rFonts w:ascii="Times New Roman" w:hAnsi="Times New Roman"/>
          <w:color w:val="000000"/>
          <w:sz w:val="18"/>
        </w:rPr>
      </w:pPr>
      <w:r>
        <w:rPr>
          <w:rFonts w:ascii="Times New Roman" w:hAnsi="Times New Roman"/>
          <w:color w:val="000000"/>
          <w:sz w:val="18"/>
        </w:rPr>
        <w:t>$3.3 million and $6.7 million, respectively, of charges for acquisition and integration costs related to recent acquisitions. The costs were recorded in “Other expense, net.”</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The three and six months ended June 30, 2025 include the following:</w:t>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$24.6 million and $18.8 million, respectively, of income related to gains on sales of corrugated products facilities, partially offset by closure costs related to corrugated products facilities. These items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$1.6 million of charges related to the announced Greif, Inc. acquisition, which were recorded in “Other expense, net.”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Segment Information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9451" w:type="dxa"/>
        <w:jc w:val="left"/>
        <w:tblInd w:w="0" w:type="dxa"/>
        <w:tblLayout w:type="fixed"/>
        <w:tblCellMar>
          <w:top w:w="28" w:type="dxa"/>
          <w:left w:w="28" w:type="dxa"/>
          <w:bottom w:w="28" w:type="dxa"/>
          <w:right w:w="28" w:type="dxa"/>
        </w:tblCellMar>
      </w:tblPr>
      <w:tblGrid>
        <w:gridCol w:w="4576"/>
        <w:gridCol w:w="211"/>
        <w:gridCol w:w="721"/>
        <w:gridCol w:w="166"/>
        <w:gridCol w:w="146"/>
        <w:gridCol w:w="211"/>
        <w:gridCol w:w="721"/>
        <w:gridCol w:w="166"/>
        <w:gridCol w:w="146"/>
        <w:gridCol w:w="211"/>
        <w:gridCol w:w="721"/>
        <w:gridCol w:w="166"/>
        <w:gridCol w:w="146"/>
        <w:gridCol w:w="211"/>
        <w:gridCol w:w="72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sales</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operating income (loss)</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Segment operating income (loss) excluding special items</w:t>
            </w:r>
            <w:r>
              <w:rPr>
                <w:rFonts w:ascii="Times New Roman" w:hAnsi="Times New Roman"/>
                <w:color w:val="000000"/>
                <w:sz w:val="18"/>
              </w:rPr>
              <w:t> </w:t>
            </w:r>
            <w:r>
              <w:rPr>
                <w:rFonts w:ascii="Times New Roman" w:hAnsi="Times New Roman"/>
                <w:b/>
                <w:color w:val="000000"/>
                <w:sz w:val="12"/>
              </w:rPr>
              <w:t>(1)</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Income (loss) from operations excluding special items, segment operating income (loss) excluding special items, earnings before non-operating pension income, interest, income taxes, and depreciation, amortization, and depletion (EBITDA), segment EBITDA, EBITDA excluding special items, and segment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w:t>
      </w:r>
      <w:r>
        <w:rPr>
          <w:color w:val="1F497D"/>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8166" w:type="dxa"/>
        <w:jc w:val="left"/>
        <w:tblInd w:w="0" w:type="dxa"/>
        <w:tblLayout w:type="fixed"/>
        <w:tblCellMar>
          <w:top w:w="28" w:type="dxa"/>
          <w:left w:w="28" w:type="dxa"/>
          <w:bottom w:w="28" w:type="dxa"/>
          <w:right w:w="28" w:type="dxa"/>
        </w:tblCellMar>
      </w:tblPr>
      <w:tblGrid>
        <w:gridCol w:w="3991"/>
        <w:gridCol w:w="196"/>
        <w:gridCol w:w="511"/>
        <w:gridCol w:w="166"/>
        <w:gridCol w:w="146"/>
        <w:gridCol w:w="196"/>
        <w:gridCol w:w="511"/>
        <w:gridCol w:w="166"/>
        <w:gridCol w:w="146"/>
        <w:gridCol w:w="196"/>
        <w:gridCol w:w="511"/>
        <w:gridCol w:w="166"/>
        <w:gridCol w:w="146"/>
        <w:gridCol w:w="196"/>
        <w:gridCol w:w="511"/>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Segment operating income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Segment operating income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34.3</w:t>
            </w:r>
          </w:p>
        </w:tc>
        <w:tc>
          <w:tcPr>
            <w:tcW w:w="166"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25.8</w:t>
            </w:r>
          </w:p>
        </w:tc>
        <w:tc>
          <w:tcPr>
            <w:tcW w:w="166"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67.2</w:t>
            </w:r>
          </w:p>
        </w:tc>
        <w:tc>
          <w:tcPr>
            <w:tcW w:w="166"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61.4</w:t>
            </w:r>
          </w:p>
        </w:tc>
        <w:tc>
          <w:tcPr>
            <w:tcW w:w="411"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Segment operating loss excluding special items </w:t>
            </w:r>
            <w:r>
              <w:rPr>
                <w:rFonts w:ascii="Times New Roman" w:hAnsi="Times New Roman"/>
                <w:color w:val="000000"/>
                <w:sz w:val="12"/>
              </w:rPr>
              <w:t>(1)</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(47.2</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(36.8</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(70.2</w:t>
            </w:r>
          </w:p>
        </w:tc>
        <w:tc>
          <w:tcPr>
            <w:tcW w:w="4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operations</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291.2</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333.7</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542.5</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614.0</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Income from operations, excluding special items </w:t>
            </w:r>
            <w:r>
              <w:rPr>
                <w:rFonts w:ascii="Times New Roman" w:hAnsi="Times New Roman"/>
                <w:b/>
                <w:color w:val="000000"/>
                <w:sz w:val="12"/>
              </w:rPr>
              <w:t>(1)</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314.9</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310.7</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625.9</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596.8</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2,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rFonts w:ascii="Times New Roman" w:hAnsi="Times New Roman"/>
          <w:sz w:val="20"/>
        </w:rPr>
      </w:pPr>
      <w:r>
        <w:rPr>
          <w:rFonts w:ascii="Times New Roman" w:hAnsi="Times New Roman"/>
          <w:b/>
          <w:i/>
          <w:color w:val="000000"/>
          <w:sz w:val="20"/>
        </w:rPr>
        <w:t>Net Income Excluding Special Items and EPS Excluding Special Items</w:t>
      </w:r>
      <w:r>
        <w:rPr>
          <w:rFonts w:ascii="Times New Roman" w:hAnsi="Times New Roman"/>
          <w:color w:val="000000"/>
          <w:sz w:val="20"/>
        </w:rPr>
        <w:t xml:space="preserve"> </w:t>
      </w:r>
      <w:r>
        <w:rPr>
          <w:rFonts w:ascii="Times New Roman" w:hAnsi="Times New Roman"/>
          <w:color w:val="000000"/>
          <w:sz w:val="13"/>
        </w:rPr>
        <w:t>(1)</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54"/>
        <w:gridCol w:w="257"/>
        <w:gridCol w:w="621"/>
        <w:gridCol w:w="146"/>
        <w:gridCol w:w="146"/>
        <w:gridCol w:w="207"/>
        <w:gridCol w:w="552"/>
        <w:gridCol w:w="151"/>
        <w:gridCol w:w="146"/>
        <w:gridCol w:w="196"/>
        <w:gridCol w:w="474"/>
        <w:gridCol w:w="146"/>
        <w:gridCol w:w="146"/>
        <w:gridCol w:w="213"/>
        <w:gridCol w:w="426"/>
        <w:gridCol w:w="146"/>
        <w:gridCol w:w="146"/>
        <w:gridCol w:w="257"/>
        <w:gridCol w:w="621"/>
        <w:gridCol w:w="151"/>
        <w:gridCol w:w="146"/>
        <w:gridCol w:w="207"/>
        <w:gridCol w:w="552"/>
        <w:gridCol w:w="151"/>
        <w:gridCol w:w="146"/>
        <w:gridCol w:w="196"/>
        <w:gridCol w:w="474"/>
        <w:gridCol w:w="151"/>
        <w:gridCol w:w="146"/>
        <w:gridCol w:w="206"/>
        <w:gridCol w:w="462"/>
        <w:gridCol w:w="366"/>
      </w:tblGrid>
      <w:tr>
        <w:trPr/>
        <w:tc>
          <w:tcPr>
            <w:tcW w:w="18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 in accordance with GAAP</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Facilities closure and other costs (income)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Acquisition and integration-related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Wallula mill restructuring</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 in accordance with GAAP</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Facilities closure and other costs (income)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Acquisition and integration-related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Wallula mill restructuring</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Net income excluding special items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w:t>
      </w:r>
      <w:r>
        <w:rPr>
          <w:color w:val="1F497D"/>
        </w:rPr>
        <w:t xml:space="preserve"> </w:t>
      </w:r>
      <w:r>
        <w:rPr>
          <w:rFonts w:ascii="Times New Roman" w:hAnsi="Times New Roman"/>
          <w:color w:val="000000"/>
          <w:sz w:val="18"/>
        </w:rPr>
        <w:t>only in conjunction with results presented in accordance with GAAP.</w:t>
      </w:r>
      <w:r>
        <w:rPr>
          <w:color w:val="1F497D"/>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pPr>
      <w:r>
        <w:rPr>
          <w:rFonts w:ascii="Times New Roman" w:hAnsi="Times New Roman"/>
          <w:color w:val="000000"/>
          <w:sz w:val="18"/>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Times New Roman" w:hAnsi="Times New Roman"/>
          <w:i/>
          <w:color w:val="000000"/>
          <w:sz w:val="18"/>
        </w:rPr>
        <w:t>Interim Reporting</w:t>
      </w:r>
      <w:r>
        <w:rPr>
          <w:rFonts w:ascii="Times New Roman" w:hAnsi="Times New Roman"/>
          <w:color w:val="000000"/>
          <w:sz w:val="18"/>
        </w:rPr>
        <w:t xml:space="preserve">, and ASC 740-270, </w:t>
      </w:r>
      <w:r>
        <w:rPr>
          <w:rFonts w:ascii="Times New Roman" w:hAnsi="Times New Roman"/>
          <w:i/>
          <w:color w:val="000000"/>
          <w:sz w:val="18"/>
        </w:rPr>
        <w:t>Income Taxes – Intra Period Tax Allocation</w:t>
      </w:r>
      <w:r>
        <w:rPr>
          <w:rFonts w:ascii="Times New Roman" w:hAnsi="Times New Roman"/>
          <w:color w:val="000000"/>
          <w:sz w:val="18"/>
        </w:rPr>
        <w:t>. For all periods presented, income taxes on pre-tax special items represent the current amount of tax. For more information related to these items, see the footnotes to the Consolidated Earnings Results on page 1.</w:t>
      </w:r>
    </w:p>
    <w:p>
      <w:pPr>
        <w:pStyle w:val="TextBody"/>
        <w:bidi w:val="0"/>
        <w:spacing w:before="120" w:after="283"/>
        <w:jc w:val="both"/>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spacing w:before="0" w:after="200"/>
        <w:jc w:val="center"/>
        <w:rPr>
          <w:rFonts w:ascii="Times New Roman" w:hAnsi="Times New Roman"/>
          <w:sz w:val="20"/>
        </w:rPr>
      </w:pPr>
      <w:r>
        <w:rPr>
          <w:rFonts w:ascii="Times New Roman" w:hAnsi="Times New Roman"/>
          <w:b/>
          <w:i/>
          <w:color w:val="000000"/>
          <w:sz w:val="20"/>
        </w:rPr>
        <w:t>EBITDA and EBITDA Excluding Special Items</w:t>
      </w:r>
      <w:r>
        <w:rPr>
          <w:rFonts w:ascii="Times New Roman" w:hAnsi="Times New Roman"/>
          <w:color w:val="000000"/>
          <w:sz w:val="20"/>
        </w:rPr>
        <w:t xml:space="preserve"> </w:t>
      </w:r>
      <w:r>
        <w:rPr>
          <w:rFonts w:ascii="Times New Roman" w:hAnsi="Times New Roman"/>
          <w:color w:val="000000"/>
          <w:sz w:val="13"/>
        </w:rPr>
        <w:t>(1)</w:t>
      </w:r>
    </w:p>
    <w:p>
      <w:pPr>
        <w:pStyle w:val="TextBody"/>
        <w:bidi w:val="0"/>
        <w:jc w:val="both"/>
        <w:rPr>
          <w:rFonts w:ascii="Times New Roman" w:hAnsi="Times New Roman"/>
          <w:color w:val="000000"/>
          <w:sz w:val="20"/>
        </w:rPr>
      </w:pPr>
      <w:r>
        <w:rPr>
          <w:rFonts w:ascii="Times New Roman" w:hAnsi="Times New Roman"/>
          <w:color w:val="000000"/>
          <w:sz w:val="20"/>
        </w:rPr>
        <w:t>EBITDA represents income before non-operating pension income, interest, income taxes, and depreciation, amortization, and depletion. The following table reconciles net income to EBITDA and EBITDA excluding special items:</w:t>
      </w:r>
    </w:p>
    <w:p>
      <w:pPr>
        <w:pStyle w:val="TextBody"/>
        <w:bidi w:val="0"/>
        <w:jc w:val="left"/>
        <w:rPr/>
      </w:pPr>
      <w:r>
        <w:rPr/>
        <w:t> </w:t>
      </w:r>
    </w:p>
    <w:tbl>
      <w:tblPr>
        <w:tblW w:w="7766" w:type="dxa"/>
        <w:jc w:val="left"/>
        <w:tblInd w:w="0" w:type="dxa"/>
        <w:tblLayout w:type="fixed"/>
        <w:tblCellMar>
          <w:top w:w="28" w:type="dxa"/>
          <w:left w:w="28" w:type="dxa"/>
          <w:bottom w:w="28" w:type="dxa"/>
          <w:right w:w="28" w:type="dxa"/>
        </w:tblCellMar>
      </w:tblPr>
      <w:tblGrid>
        <w:gridCol w:w="3291"/>
        <w:gridCol w:w="211"/>
        <w:gridCol w:w="571"/>
        <w:gridCol w:w="166"/>
        <w:gridCol w:w="146"/>
        <w:gridCol w:w="211"/>
        <w:gridCol w:w="571"/>
        <w:gridCol w:w="166"/>
        <w:gridCol w:w="146"/>
        <w:gridCol w:w="211"/>
        <w:gridCol w:w="571"/>
        <w:gridCol w:w="166"/>
        <w:gridCol w:w="146"/>
        <w:gridCol w:w="211"/>
        <w:gridCol w:w="57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w:t>
            </w:r>
            <w:r>
              <w:rPr>
                <w:rFonts w:ascii="Times New Roman" w:hAnsi="Times New Roman"/>
                <w:b/>
                <w:color w:val="000000"/>
                <w:sz w:val="12"/>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2,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segment operating income (loss) to segment EBITDA and segment EBITDA excluding special items:</w:t>
      </w:r>
    </w:p>
    <w:p>
      <w:pPr>
        <w:pStyle w:val="TextBody"/>
        <w:bidi w:val="0"/>
        <w:jc w:val="both"/>
        <w:rPr/>
      </w:pPr>
      <w:r>
        <w:rPr/>
        <w:t> </w:t>
      </w:r>
    </w:p>
    <w:tbl>
      <w:tblPr>
        <w:tblW w:w="7766" w:type="dxa"/>
        <w:jc w:val="left"/>
        <w:tblInd w:w="0" w:type="dxa"/>
        <w:tblLayout w:type="fixed"/>
        <w:tblCellMar>
          <w:top w:w="28" w:type="dxa"/>
          <w:left w:w="28" w:type="dxa"/>
          <w:bottom w:w="28" w:type="dxa"/>
          <w:right w:w="28" w:type="dxa"/>
        </w:tblCellMar>
      </w:tblPr>
      <w:tblGrid>
        <w:gridCol w:w="3291"/>
        <w:gridCol w:w="211"/>
        <w:gridCol w:w="571"/>
        <w:gridCol w:w="166"/>
        <w:gridCol w:w="146"/>
        <w:gridCol w:w="211"/>
        <w:gridCol w:w="571"/>
        <w:gridCol w:w="166"/>
        <w:gridCol w:w="146"/>
        <w:gridCol w:w="211"/>
        <w:gridCol w:w="571"/>
        <w:gridCol w:w="166"/>
        <w:gridCol w:w="146"/>
        <w:gridCol w:w="211"/>
        <w:gridCol w:w="57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76.8</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(42.0</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971.2</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871.8</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2,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3961</Words>
  <Characters>21100</Characters>
  <CharactersWithSpaces>25642</CharactersWithSpaces>
  <Paragraphs>2753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