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Pamela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terms of the Company's Long-Term Equity Incentive Plan, the Company withheld shares to cover the withholding tax obligation associated with equity awards vesting on the transaction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Kent A. Pflederer,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344" TargetMode="External"/><Relationship Id="rId13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2024-02-28T14:22:06Z</dcterms:created>
  <dcterms:modified xsi:type="dcterms:W3CDTF">2024-02-28T14:22:06Z</dcterms:modified>
</cp:coreProperties>
</file>