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KOWLZAN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COURT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215.97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listed is the weighted average sale price. The reporting person undertakes to provide full information regarding the number of shares sold at each separate price upon request.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disclaims beneficial ownership of shares held by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456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2025-09-15T10:56:49Z</dcterms:created>
  <dcterms:modified xsi:type="dcterms:W3CDTF">2025-09-15T10:56:49Z</dcterms:modified>
</cp:coreProperties>
</file>