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671830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688975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2291080</wp:posOffset>
            </wp:positionH>
            <wp:positionV relativeFrom="paragraph">
              <wp:posOffset>227330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2291080</wp:posOffset>
            </wp:positionH>
            <wp:positionV relativeFrom="paragraph">
              <wp:posOffset>207645</wp:posOffset>
            </wp:positionV>
            <wp:extent cx="1594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400" w:hanging="396"/>
        <w:spacing w:after="0" w:line="262" w:lineRule="auto"/>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400" w:right="60" w:hanging="396"/>
        <w:spacing w:after="0" w:line="262" w:lineRule="auto"/>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375"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1-15399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2291080</wp:posOffset>
            </wp:positionH>
            <wp:positionV relativeFrom="paragraph">
              <wp:posOffset>251460</wp:posOffset>
            </wp:positionV>
            <wp:extent cx="1594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00" w:hanging="396"/>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2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Retirement Savings Plan for Salaried Employees</w:t>
      </w:r>
    </w:p>
    <w:p>
      <w:pPr>
        <w:spacing w:after="0" w:line="207" w:lineRule="exact"/>
        <w:rPr>
          <w:sz w:val="24"/>
          <w:szCs w:val="24"/>
          <w:color w:val="auto"/>
        </w:rPr>
      </w:pPr>
    </w:p>
    <w:p>
      <w:pPr>
        <w:ind w:left="400" w:hanging="396"/>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issuer of the securities held pursuant to the plan and the address of its principal executive office:</w:t>
      </w:r>
    </w:p>
    <w:p>
      <w:pPr>
        <w:spacing w:after="0" w:line="22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1 North Field Court</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Lake Forest, IL 60045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644525</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151765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168910</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460"/>
          </w:cols>
          <w:pgMar w:left="1080" w:top="1267" w:right="135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Retirement Savings Plan for Salaried Employees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A. Financial Statements</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1"/>
        </w:trPr>
        <w:tc>
          <w:tcPr>
            <w:tcW w:w="9140" w:type="dxa"/>
            <w:vAlign w:val="bottom"/>
            <w:gridSpan w:val="10"/>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2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4480" w:type="dxa"/>
            <w:vAlign w:val="bottom"/>
            <w:gridSpan w:val="4"/>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2"/>
        </w:trPr>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70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Financial Statements: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w:t>
            </w:r>
          </w:p>
        </w:tc>
        <w:tc>
          <w:tcPr>
            <w:tcW w:w="3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5680" w:type="dxa"/>
            <w:vAlign w:val="bottom"/>
            <w:gridSpan w:val="5"/>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2"/>
        </w:trPr>
        <w:tc>
          <w:tcPr>
            <w:tcW w:w="9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 Supplemental Schedule *</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7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FF"/>
              </w:rPr>
              <w:t>Index to 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822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1" w:lineRule="exact"/>
        <w:rPr>
          <w:sz w:val="20"/>
          <w:szCs w:val="20"/>
          <w:color w:val="auto"/>
        </w:rPr>
      </w:pPr>
    </w:p>
    <w:p>
      <w:pPr>
        <w:ind w:left="4820" w:right="3800" w:hanging="4814"/>
        <w:spacing w:after="0" w:line="548" w:lineRule="auto"/>
        <w:rPr>
          <w:sz w:val="20"/>
          <w:szCs w:val="20"/>
          <w:color w:val="auto"/>
        </w:rPr>
      </w:pPr>
      <w:r>
        <w:rPr>
          <w:rFonts w:ascii="Times New Roman" w:cs="Times New Roman" w:eastAsia="Times New Roman" w:hAnsi="Times New Roman"/>
          <w:sz w:val="18"/>
          <w:szCs w:val="18"/>
          <w:color w:val="auto"/>
        </w:rPr>
        <w:t>* Schedules required by Form 5500 that are not applicable have not been included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299085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95" w:right="1099" w:bottom="1440" w:gutter="0" w:footer="0" w:header="0"/>
        </w:sectPr>
      </w:pPr>
    </w:p>
    <w:bookmarkStart w:id="2" w:name="page3"/>
    <w:bookmarkEnd w:id="2"/>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Corporation of America Retirement Savings Plan for Salaried Employees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Packaging Corporation of America Retirement Savings Plan for Salaried Employees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schedule of assets (held at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981" w:right="11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Retirement Savings Plan for Salaried Employees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Plan’s interest in Master Trust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1,678,681,108</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1,533,228,179</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14,786,603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14,708,320</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receivable: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2,244,414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2,073,362</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1,492,777</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1,469,675</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1,697,204,902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1,551,479,536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 expenses payable</w:t>
            </w: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142,973</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1,697,061,929</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1,551,332,975</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-170815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Retirement Savings Plan for Salaried Employees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6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 from Master Trust</w:t>
            </w:r>
          </w:p>
        </w:tc>
        <w:tc>
          <w:tcPr>
            <w:tcW w:w="2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220,111,854</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notes receivable from participants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1,019,245</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47,515,954</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39,759,430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Rollover</w:t>
            </w:r>
          </w:p>
        </w:tc>
        <w:tc>
          <w:tcPr>
            <w:tcW w:w="1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4,696,959</w:t>
            </w:r>
          </w:p>
        </w:tc>
        <w:tc>
          <w:tcPr>
            <w:tcW w:w="100" w:type="dxa"/>
            <w:vAlign w:val="bottom"/>
          </w:tcPr>
          <w:p>
            <w:pPr>
              <w:spacing w:after="0"/>
              <w:rPr>
                <w:sz w:val="18"/>
                <w:szCs w:val="18"/>
                <w:color w:val="auto"/>
              </w:rPr>
            </w:pPr>
          </w:p>
        </w:tc>
      </w:tr>
      <w:tr>
        <w:trPr>
          <w:trHeight w:val="209"/>
        </w:trPr>
        <w:tc>
          <w:tcPr>
            <w:tcW w:w="6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contributions</w:t>
            </w:r>
          </w:p>
        </w:tc>
        <w:tc>
          <w:tcPr>
            <w:tcW w:w="19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91,972,343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(166,088,625)</w:t>
            </w: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(1,285,863)</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19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145,728,954</w:t>
            </w:r>
          </w:p>
        </w:tc>
        <w:tc>
          <w:tcPr>
            <w:tcW w:w="100" w:type="dxa"/>
            <w:vAlign w:val="bottom"/>
            <w:tcBorders>
              <w:top w:val="single" w:sz="8" w:color="CFF0FC"/>
            </w:tcBorders>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of year</w:t>
            </w:r>
          </w:p>
        </w:tc>
        <w:tc>
          <w:tcPr>
            <w:tcW w:w="1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1,551,332,975</w:t>
            </w:r>
          </w:p>
        </w:tc>
        <w:tc>
          <w:tcPr>
            <w:tcW w:w="100" w:type="dxa"/>
            <w:vAlign w:val="bottom"/>
          </w:tcPr>
          <w:p>
            <w:pPr>
              <w:spacing w:after="0"/>
              <w:rPr>
                <w:sz w:val="18"/>
                <w:szCs w:val="18"/>
                <w:color w:val="auto"/>
              </w:rPr>
            </w:pPr>
          </w:p>
        </w:tc>
      </w:tr>
      <w:tr>
        <w:trPr>
          <w:trHeight w:val="249"/>
        </w:trPr>
        <w:tc>
          <w:tcPr>
            <w:tcW w:w="6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End of year</w:t>
            </w:r>
          </w:p>
        </w:tc>
        <w:tc>
          <w:tcPr>
            <w:tcW w:w="19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1,697,061,929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6106160</wp:posOffset>
            </wp:positionH>
            <wp:positionV relativeFrom="paragraph">
              <wp:posOffset>-873760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-591185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-25400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Retirement Savings Plan for Salaried Employees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121" w:lineRule="exact"/>
        <w:rPr>
          <w:sz w:val="20"/>
          <w:szCs w:val="20"/>
          <w:color w:val="auto"/>
        </w:rPr>
      </w:pPr>
    </w:p>
    <w:p>
      <w:pPr>
        <w:ind w:right="480" w:firstLine="441"/>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Packaging Corporation of America Retirement Savings Plan for Salaried Employees (the “Plan”) provides general information. The Plan Sponsor is Packaging Corporation of America (the “Company” or “PCA”). Participants should refer to the Plan document for a more complete description of the Plan’s provisions.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The Plan is a defined contribution plan, established on February 1, 2000, and is subject to the provisions of the Employee Retirement Income Security Act of 1974, as amended (“ERISA”). The Plan covers salaried employees of the Company and each of its domestic subsidiaries that have adopted the Plan. The Benefits Administration Committee is responsible for the oversight of the Plan. The Investment Committee determines the appropriateness of the Plan’s investment offerings and monitors investment performance. Both committees are appointed by the Board of Directors of the Company.</w:t>
      </w:r>
    </w:p>
    <w:p>
      <w:pPr>
        <w:spacing w:after="0" w:line="183"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Alight Solutions is the Plan’s recordkeeper. Northern Trust is the Plan’s trustee and custodian. Mercer is an ERISA §3(38) investment advisor to the Plan.</w:t>
      </w:r>
    </w:p>
    <w:p>
      <w:pPr>
        <w:spacing w:after="0" w:line="162"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Plan adopted certain voluntary provisions under the Setting Every Community Up for Retirement Enhancement 2.0 Act of 2022 (“SECURE 2.0 Act”), as discussed below. The SECURE 2.0 Act is legislation designed to enhance retirement savings and update the regulatory framework for qualified retirement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Upon hire, eligible employees receive written notice of the automatic enrollment process into the Plan, which occurs 45 days after the date of hire. Automatic enrollment will not occur if the employee decides to enroll prior to the automatic enrollment date or if the employee opts out of participation in the Plan. Additionally, the Plan includes an automatic escalation feature that increases participants’ contribution rates over time to a maximum contribution rate of 10% unless participants opt out or elect a different rate.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Participants may contribute between 1% and 50% of annual compensation, as defined, with such contributions limited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$23,500 in 2025 for employees under age 50 and $31,000 in 2025 for employees aged 50 and older. Effective January 1,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adopted the optional provision under the SECURE 2.0 Act that permits a catch-up contribution limit of $34,750 for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aged 60 to 63. Employees aged 64 and older remain at the same contribution limit of $31,000 effective for those aged 50 and 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also roll over qualifying distributions from other qualified plans.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After six months the Company matches participant contributions on the following basis:</w:t>
      </w:r>
    </w:p>
    <w:p>
      <w:pPr>
        <w:spacing w:after="0" w:line="117" w:lineRule="exact"/>
        <w:rPr>
          <w:sz w:val="20"/>
          <w:szCs w:val="20"/>
          <w:color w:val="auto"/>
        </w:rPr>
      </w:pPr>
    </w:p>
    <w:p>
      <w:pPr>
        <w:ind w:left="880" w:hanging="436"/>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4% of contributions are matched at a rate of 80%.</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4% of contributions are matched at a rate of 50%.</w:t>
      </w:r>
    </w:p>
    <w:p>
      <w:pPr>
        <w:spacing w:after="0" w:line="225"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In addition to the Company’s matching contribution, the Company also makes a retirement savings contribution to eligible employees after six months of service up to 5% of compensation based on years of service, as defined. The contribution is made on behalf of the employee regardless of whether the employee is contributing to the Plan.</w:t>
      </w:r>
    </w:p>
    <w:p>
      <w:pPr>
        <w:spacing w:after="0" w:line="176"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Participants may make Roth contributions to the Plan, which are after-tax contributions whose earnings are not taxable upon qualified distribution.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Company contributions, and an allocation of Plan earnings or losses. The benefit to which a participant is entitled is the benefit that can be provided from the participant’s account.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981" w:right="11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Participants are 100% vested immediately in the value of their contributions, Company matching contributions, earnings thereon and rollovers from other qualified plans.</w:t>
      </w:r>
    </w:p>
    <w:p>
      <w:pPr>
        <w:spacing w:after="0" w:line="162" w:lineRule="exact"/>
        <w:rPr>
          <w:sz w:val="20"/>
          <w:szCs w:val="20"/>
          <w:color w:val="auto"/>
        </w:rPr>
      </w:pPr>
    </w:p>
    <w:p>
      <w:pPr>
        <w:jc w:val="both"/>
        <w:ind w:right="340" w:firstLine="441"/>
        <w:spacing w:after="0" w:line="266" w:lineRule="auto"/>
        <w:rPr>
          <w:sz w:val="20"/>
          <w:szCs w:val="20"/>
          <w:color w:val="auto"/>
        </w:rPr>
      </w:pPr>
      <w:r>
        <w:rPr>
          <w:rFonts w:ascii="Times New Roman" w:cs="Times New Roman" w:eastAsia="Times New Roman" w:hAnsi="Times New Roman"/>
          <w:sz w:val="18"/>
          <w:szCs w:val="18"/>
          <w:color w:val="auto"/>
        </w:rPr>
        <w:t>The Company retirement savings contribution, including earnings thereon, becomes 100% vested upon completion of three years of service, or upon reaching 65 years of age, permanent disability, or death while employed by the Company. Forfeited non-vested accounts are applied to reduce future Company contributions.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121"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Participants may elect to invest their account balances in any of the available investment options provided by the Plan through the PCA Defined Contribution Master Trust (the “Master Trust”). Participants may change their investment options on any business day, subject to certain short-term trading restrictions outlined in the Plan document.</w:t>
      </w:r>
    </w:p>
    <w:p>
      <w:pPr>
        <w:spacing w:after="0" w:line="176" w:lineRule="exact"/>
        <w:rPr>
          <w:sz w:val="20"/>
          <w:szCs w:val="20"/>
          <w:color w:val="auto"/>
        </w:rPr>
      </w:pPr>
    </w:p>
    <w:p>
      <w:pPr>
        <w:ind w:right="260" w:firstLine="441"/>
        <w:spacing w:after="0" w:line="258" w:lineRule="auto"/>
        <w:rPr>
          <w:sz w:val="20"/>
          <w:szCs w:val="20"/>
          <w:color w:val="auto"/>
        </w:rPr>
      </w:pPr>
      <w:r>
        <w:rPr>
          <w:rFonts w:ascii="Times New Roman" w:cs="Times New Roman" w:eastAsia="Times New Roman" w:hAnsi="Times New Roman"/>
          <w:sz w:val="18"/>
          <w:szCs w:val="18"/>
          <w:color w:val="auto"/>
        </w:rPr>
        <w:t>The portion of the Plan’s interest in the Master Trust currently invested in the PCA Common Stock Fund, and any future employee or employer contributions used to acquire PCA common stock, is invested in the Employee Stock Ownership Plan (“ESOP”) component of the Plan. Plan participants have the ability to instruct the Plan’s trustee to distribute directly to them future cash dividends paid on shares of PCA common stock credited to their PCA common stock ESOP. The election to receive cash dividends is made through the PCA Benefits Center, and dividends will be reported as taxable income.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21" w:lineRule="exact"/>
        <w:rPr>
          <w:sz w:val="20"/>
          <w:szCs w:val="20"/>
          <w:color w:val="auto"/>
        </w:rPr>
      </w:pPr>
    </w:p>
    <w:p>
      <w:pPr>
        <w:ind w:right="20" w:firstLine="441"/>
        <w:spacing w:after="0" w:line="271" w:lineRule="auto"/>
        <w:rPr>
          <w:sz w:val="20"/>
          <w:szCs w:val="20"/>
          <w:color w:val="auto"/>
        </w:rPr>
      </w:pPr>
      <w:r>
        <w:rPr>
          <w:rFonts w:ascii="Times New Roman" w:cs="Times New Roman" w:eastAsia="Times New Roman" w:hAnsi="Times New Roman"/>
          <w:sz w:val="17"/>
          <w:szCs w:val="17"/>
          <w:color w:val="auto"/>
        </w:rPr>
        <w:t>In the event of retirement (as defined in the Plan), death, permanent disability, or termination of employment, the vested balance in the participant’s account will generally be distributed to the participant or the participant’s beneficiary in a single lump-sum cash payment. The portion of the participant’s account invested in the PCA Common Stock Fund will be distributed in cash unless an election is made to be distributed in kind. In-service withdrawals of rollover contributions and related earnings and certain predecessor plan account balances, as defined, are available for any reason. Participants aged 55 or older may withdraw the entire value, or any portion thereof, of their Company matching contributions and the vested value of their Company retirement savings contribution at any time. Participants who have attained the age of 59 1/2 may withdraw the entire value, or any portion thereof, of their account balance at any time. A participant’s entire account balance shall be distributed no later than April 1 following the later of the calendar year in which the participant attains age 72 or the calendar year in which the participant’s termination of employment occurs.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21"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Participant accounts were charged $15.00 per quarter for administrative expenses during 2025. Effective January 1, 2026, the quarterly fee for the Plan changed to $12.50 per quarter. If administrative expenses exceed the amount paid by participants, the Company will pay the difference. Administrative expenses primarily include recordkeeper fees, investment management expenses, and professional service fees.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A participant may borrow an amount up to the lesser of $50,000 or 50% of his or her vested account balance. The minimum loan amount is $1,000. Such loans bear interest at the prime rate as published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and are secured by the participant’s account balance in the Plan. Loans must be repaid within 60 months, with principal and interest payments made primarily through payroll deductions. There may be primary residence loans that exceed the 60-month repayment period but only if they were transferred in from another plan. There may also be loans with repayment schedules affected by COVID-related relief that exceed the 60-month repayment period. Employees on an unpaid leave may continue to repay loans via check, money order, or online debit during their period of absence. Participants also have the ability to elect to make a one-time repayment of their outstanding loan balance, of which the payment can be made via check, money order, or online debit. Participants may take up to two general purpose loans at a time. A loan is considered in default and becomes a taxable event when a loan is not current at the end of the cure period, the quarter following the quarter in which the payment was missed.</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rates on loans outstanding in the Plan at both December 31, 2025 and 2024 ranged from 3.25% to 9.75%.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At December 31, 2025 and 2024, forfeited non-vested accounts totaled approximately $331,000 and $412,000, respectively. These accounts will be used to reduce future employer contributions. In 2025, employer contributions were reduced by approximately $384,000 for forfeited non-vested accounts.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 Company’s retirement savings contributions, and earnings thereon.</w:t>
      </w:r>
    </w:p>
    <w:p>
      <w:pPr>
        <w:spacing w:after="0" w:line="280" w:lineRule="exact"/>
        <w:rPr>
          <w:sz w:val="20"/>
          <w:szCs w:val="20"/>
          <w:color w:val="auto"/>
        </w:rPr>
      </w:pPr>
    </w:p>
    <w:p>
      <w:pPr>
        <w:ind w:right="7140" w:firstLine="4"/>
        <w:spacing w:after="0" w:line="378"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Accounting</w:t>
      </w: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have been prepared on the accrual basis of accounting.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21"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The Plan’s beneficial interest in the Master Trust represents the Plan’s share of the Master Trust’s investments stated at fair value (except for fully-benefit responsive investment contracts, which are reported at contract value). Fair value is defined as the price that would be received to sell an asset or paid to transfer a liability in an orderly transaction between market participants at the measurement date (an exit price). Contract value is the amount that participants would receive if they were to initiate permitted transactions under the terms of the Plan. See Note 3 for further discussion and disclosures related to fair value and contract value measurements.</w:t>
      </w:r>
    </w:p>
    <w:p>
      <w:pPr>
        <w:spacing w:after="0" w:line="18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Purchases and sales of securities in the Master Trust are recorded on the settlement date. Interest income within the Master Trust is recorded on the accrual basis. Dividends within the Master Trust are recorded on the ex-dividend date. Net appreciation/depreciation in the Master Trust includes the gains and losses on investments bought and sold as well as held during the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20" w:firstLine="441"/>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the Plan Administrator to make estimates and assumptions that affect the amounts reported in the financial statements and accompanying notes.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Participant contributions are allocated to participant accounts when the Company remits payroll deductions from eligible Plan participants. Participant and employer contributions are recorded in the year in which participant compensation is earned.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Benefit payments are recorded when paid.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Related fees are recorded as administrative expenses and are expensed when they are incurred. If a participant ceases to make loan repayments and the provisions of the Plan document deem the participant loan to be a distribution, the participant loan balance is reduced and a benefit payment is recorded.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 in Master Trust</w:t>
      </w:r>
    </w:p>
    <w:p>
      <w:pPr>
        <w:spacing w:after="0" w:line="121" w:lineRule="exact"/>
        <w:rPr>
          <w:sz w:val="20"/>
          <w:szCs w:val="20"/>
          <w:color w:val="auto"/>
        </w:rPr>
      </w:pPr>
    </w:p>
    <w:p>
      <w:pPr>
        <w:ind w:right="140" w:firstLine="441"/>
        <w:spacing w:after="0" w:line="312" w:lineRule="auto"/>
        <w:rPr>
          <w:sz w:val="20"/>
          <w:szCs w:val="20"/>
          <w:color w:val="auto"/>
        </w:rPr>
      </w:pPr>
      <w:r>
        <w:rPr>
          <w:rFonts w:ascii="Times New Roman" w:cs="Times New Roman" w:eastAsia="Times New Roman" w:hAnsi="Times New Roman"/>
          <w:sz w:val="17"/>
          <w:szCs w:val="17"/>
          <w:color w:val="auto"/>
        </w:rPr>
        <w:t>The Master Trust includes assets of the Plan and the Packaging Corporation of America Thrift Plan for Hourly Employees. All of the Plan’s investments are invested in the Master Trust. The purpose of the Master Trust is the collective investment of assets of</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305" w:right="1119" w:bottom="1440" w:gutter="0" w:footer="0" w:header="0"/>
        </w:sectPr>
      </w:pPr>
    </w:p>
    <w:bookmarkStart w:id="8" w:name="page9"/>
    <w:bookmarkEnd w:id="8"/>
    <w:p>
      <w:pPr>
        <w:ind w:left="660" w:right="700"/>
        <w:spacing w:after="0" w:line="258" w:lineRule="auto"/>
        <w:rPr>
          <w:sz w:val="20"/>
          <w:szCs w:val="20"/>
          <w:color w:val="auto"/>
        </w:rPr>
      </w:pPr>
      <w:r>
        <w:rPr>
          <w:rFonts w:ascii="Times New Roman" w:cs="Times New Roman" w:eastAsia="Times New Roman" w:hAnsi="Times New Roman"/>
          <w:sz w:val="18"/>
          <w:szCs w:val="18"/>
          <w:color w:val="auto"/>
        </w:rPr>
        <w:t>participating plans. Each participating plan’s interest in the Master Trust is based on the aggregate account balances of the participants in the respective participating plan. The Master Trust specifically identifies contributions, benefit payments, and plan-specific expenses attributable to each participating plan. Investment gains (losses) are allocated to each participating plan in the Master Trust on a daily basis based on each plan’s divided interest in the Master Trust. At December 31, 2025 and 2024, the Plan’s interest in the net assets of the Master Trust was $1,678,681,108 and $1,533,228,179, respectively.</w:t>
      </w:r>
    </w:p>
    <w:p>
      <w:pPr>
        <w:spacing w:after="0" w:line="183" w:lineRule="exact"/>
        <w:rPr>
          <w:sz w:val="20"/>
          <w:szCs w:val="20"/>
          <w:color w:val="auto"/>
        </w:rPr>
      </w:pPr>
    </w:p>
    <w:p>
      <w:pPr>
        <w:ind w:left="660" w:right="6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investments and other assets and liabilities of the Master Trust and the Plan’s divided interest in the Master Trust as of December 31, 2025:</w:t>
      </w:r>
    </w:p>
    <w:p>
      <w:pPr>
        <w:spacing w:after="0" w:line="17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Plan’s Divided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Master Trust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Master Trust</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Master Trust investments, at fair value:</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68,568,900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36,593,685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Company common stock</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224,735,489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171,527,658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Collective trust funds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1,796,495,832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1,044,145,179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Target date collective funds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858,158,743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332,783,445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 funds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7,947,737</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Master Trust investments, at fair value</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2,955,906,701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1,589,397,633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Master Trust investments, at contract value (a):</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Synthetic guaranteed investment contracts</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181,495,804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89,283,475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Master Trust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3,137,402,505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1,678,681,108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5024755</wp:posOffset>
            </wp:positionH>
            <wp:positionV relativeFrom="paragraph">
              <wp:posOffset>-170815</wp:posOffset>
            </wp:positionV>
            <wp:extent cx="43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-170815</wp:posOffset>
            </wp:positionV>
            <wp:extent cx="4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660" w:right="6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investments and other assets and liabilities of the Master Trust and the Plan’s divided interest in the Master Trust as of December 31, 2024:</w:t>
      </w:r>
    </w:p>
    <w:p>
      <w:pPr>
        <w:spacing w:after="0" w:line="17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Plan’s Divided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Master Trust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Master Trust</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Master Trust investments, at fair value:</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63,933,022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36,346,094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Company common stock</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249,819,280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190,097,587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Collective trust funds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1,505,906,782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897,771,423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Target date collective funds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763,362,777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302,042,924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 funds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10,243,503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Master Trust investments, at fair value</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2,593,265,364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1,432,051,595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Master Trust investments, at contract value (a):</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Synthetic guaranteed investment contracts</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202,398,484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101,176,584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Master Trust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2,795,663,848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1,533,228,179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5024755</wp:posOffset>
            </wp:positionH>
            <wp:positionV relativeFrom="paragraph">
              <wp:posOffset>-170815</wp:posOffset>
            </wp:positionV>
            <wp:extent cx="4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-170815</wp:posOffset>
            </wp:positionV>
            <wp:extent cx="4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1100" w:right="860" w:hanging="436"/>
        <w:spacing w:after="0" w:line="282"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Trust holds a portfolio of synthetic guaranteed investment contracts within the PCA Stable Value Fund, which are measured at contract value and are therefore not included in the calculation of total net assets at fair value.</w:t>
      </w:r>
    </w:p>
    <w:p>
      <w:pPr>
        <w:spacing w:after="0" w:line="16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for the Master Trust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40" w:type="dxa"/>
            <w:vAlign w:val="bottom"/>
            <w:gridSpan w:val="2"/>
          </w:tcPr>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40" w:type="dxa"/>
            <w:vAlign w:val="bottom"/>
            <w:gridSpan w:val="2"/>
          </w:tcPr>
          <w:p>
            <w:pPr>
              <w:jc w:val="center"/>
              <w:ind w:right="2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5,778,134</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5,771,277</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and unrealized appreciation in fair value of investments</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418,595,482</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430,144,893</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-1079500</wp:posOffset>
            </wp:positionV>
            <wp:extent cx="43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40"/>
          </w:cols>
          <w:pgMar w:left="420" w:top="1093" w:right="4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1" w:lineRule="exact"/>
        <w:rPr>
          <w:sz w:val="20"/>
          <w:szCs w:val="20"/>
          <w:color w:val="auto"/>
        </w:rPr>
      </w:pPr>
    </w:p>
    <w:p>
      <w:pPr>
        <w:ind w:left="660" w:right="940" w:firstLine="441"/>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(i.e., an exit price). The fair value hierarchy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are described below:</w:t>
      </w:r>
    </w:p>
    <w:p>
      <w:pPr>
        <w:spacing w:after="0" w:line="183" w:lineRule="exact"/>
        <w:rPr>
          <w:sz w:val="20"/>
          <w:szCs w:val="20"/>
          <w:color w:val="auto"/>
        </w:rPr>
      </w:pPr>
    </w:p>
    <w:p>
      <w:pPr>
        <w:ind w:left="1100" w:right="1020"/>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in active markets that are accessible to the reporting entity at the measurement date for identical assets and liabilities.</w:t>
      </w:r>
    </w:p>
    <w:p>
      <w:pPr>
        <w:spacing w:after="0" w:line="162" w:lineRule="exact"/>
        <w:rPr>
          <w:sz w:val="20"/>
          <w:szCs w:val="20"/>
          <w:color w:val="auto"/>
        </w:rPr>
      </w:pPr>
    </w:p>
    <w:p>
      <w:pPr>
        <w:ind w:left="1100" w:right="760"/>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54" w:lineRule="exact"/>
        <w:rPr>
          <w:sz w:val="20"/>
          <w:szCs w:val="20"/>
          <w:color w:val="auto"/>
        </w:rPr>
      </w:pPr>
    </w:p>
    <w:p>
      <w:pPr>
        <w:ind w:left="1960" w:hanging="324"/>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and liabilities in active markets</w:t>
      </w:r>
    </w:p>
    <w:p>
      <w:pPr>
        <w:spacing w:after="0" w:line="117" w:lineRule="exact"/>
        <w:rPr>
          <w:rFonts w:ascii="Times New Roman" w:cs="Times New Roman" w:eastAsia="Times New Roman" w:hAnsi="Times New Roman"/>
          <w:sz w:val="18"/>
          <w:szCs w:val="18"/>
          <w:color w:val="auto"/>
        </w:rPr>
      </w:pPr>
    </w:p>
    <w:p>
      <w:pPr>
        <w:ind w:left="1960" w:hanging="324"/>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117" w:lineRule="exact"/>
        <w:rPr>
          <w:rFonts w:ascii="Times New Roman" w:cs="Times New Roman" w:eastAsia="Times New Roman" w:hAnsi="Times New Roman"/>
          <w:sz w:val="18"/>
          <w:szCs w:val="18"/>
          <w:color w:val="auto"/>
        </w:rPr>
      </w:pPr>
    </w:p>
    <w:p>
      <w:pPr>
        <w:ind w:left="1960" w:right="740" w:hanging="324"/>
        <w:spacing w:after="0" w:line="282"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Observable inputs other than quoted prices that are used in the valuation of the assets or liabilities (e.g., interest rate and yield curve quotes at commonly quoted intervals)</w:t>
      </w:r>
    </w:p>
    <w:p>
      <w:pPr>
        <w:spacing w:after="0" w:line="53" w:lineRule="exact"/>
        <w:rPr>
          <w:rFonts w:ascii="Times New Roman" w:cs="Times New Roman" w:eastAsia="Times New Roman" w:hAnsi="Times New Roman"/>
          <w:sz w:val="18"/>
          <w:szCs w:val="18"/>
          <w:color w:val="auto"/>
        </w:rPr>
      </w:pPr>
    </w:p>
    <w:p>
      <w:pPr>
        <w:ind w:left="1960" w:hanging="324"/>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25" w:lineRule="exact"/>
        <w:rPr>
          <w:sz w:val="20"/>
          <w:szCs w:val="20"/>
          <w:color w:val="auto"/>
        </w:rPr>
      </w:pPr>
    </w:p>
    <w:p>
      <w:pPr>
        <w:ind w:left="1100" w:right="900"/>
        <w:spacing w:after="0" w:line="266" w:lineRule="auto"/>
        <w:rPr>
          <w:sz w:val="20"/>
          <w:szCs w:val="20"/>
          <w:color w:val="auto"/>
        </w:rPr>
      </w:pPr>
      <w:r>
        <w:rPr>
          <w:rFonts w:ascii="Times New Roman" w:cs="Times New Roman" w:eastAsia="Times New Roman" w:hAnsi="Times New Roman"/>
          <w:sz w:val="18"/>
          <w:szCs w:val="18"/>
          <w:color w:val="auto"/>
        </w:rPr>
        <w:t>Level 3 — Unobservable inputs for the asset or liability (i.e., supported by little or no market activity). Level 3 inputs include management’s own assumption about the assumptions that market participants would use in pricing the asset or liability (including assumptions about risk).</w:t>
      </w:r>
    </w:p>
    <w:p>
      <w:pPr>
        <w:spacing w:after="0" w:line="176" w:lineRule="exact"/>
        <w:rPr>
          <w:sz w:val="20"/>
          <w:szCs w:val="20"/>
          <w:color w:val="auto"/>
        </w:rPr>
      </w:pPr>
    </w:p>
    <w:p>
      <w:pPr>
        <w:ind w:left="660" w:right="900" w:firstLine="441"/>
        <w:spacing w:after="0" w:line="282" w:lineRule="auto"/>
        <w:rPr>
          <w:sz w:val="20"/>
          <w:szCs w:val="20"/>
          <w:color w:val="auto"/>
        </w:rPr>
      </w:pPr>
      <w:r>
        <w:rPr>
          <w:rFonts w:ascii="Times New Roman" w:cs="Times New Roman" w:eastAsia="Times New Roman" w:hAnsi="Times New Roman"/>
          <w:sz w:val="18"/>
          <w:szCs w:val="18"/>
          <w:color w:val="auto"/>
        </w:rPr>
        <w:t>Assets that are measured at fair value using the net asset value (“NAV”) per share as a practical expedient are not categorized within the fair value hierarchy.</w:t>
      </w:r>
    </w:p>
    <w:p>
      <w:pPr>
        <w:spacing w:after="0" w:line="162" w:lineRule="exact"/>
        <w:rPr>
          <w:sz w:val="20"/>
          <w:szCs w:val="20"/>
          <w:color w:val="auto"/>
        </w:rPr>
      </w:pPr>
    </w:p>
    <w:p>
      <w:pPr>
        <w:ind w:left="660" w:right="1000" w:firstLine="441"/>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the fair value measurement is classified is determined based on the lowest level of input that is significant to the fair value measurement in its entirety.</w:t>
      </w:r>
    </w:p>
    <w:p>
      <w:pPr>
        <w:spacing w:after="0" w:line="162" w:lineRule="exact"/>
        <w:rPr>
          <w:sz w:val="20"/>
          <w:szCs w:val="20"/>
          <w:color w:val="auto"/>
        </w:rPr>
      </w:pPr>
    </w:p>
    <w:p>
      <w:pPr>
        <w:ind w:left="660" w:right="680" w:firstLine="441"/>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techniques and inputs used for each major class of asset measured to estimate fair value by the Master Trust.</w:t>
      </w:r>
    </w:p>
    <w:p>
      <w:pPr>
        <w:spacing w:after="0" w:line="162" w:lineRule="exact"/>
        <w:rPr>
          <w:sz w:val="20"/>
          <w:szCs w:val="20"/>
          <w:color w:val="auto"/>
        </w:rPr>
      </w:pPr>
    </w:p>
    <w:p>
      <w:pPr>
        <w:ind w:left="660" w:right="720" w:firstLine="441"/>
        <w:spacing w:after="0" w:line="282" w:lineRule="auto"/>
        <w:rPr>
          <w:sz w:val="20"/>
          <w:szCs w:val="20"/>
          <w:color w:val="auto"/>
        </w:rPr>
      </w:pPr>
      <w:r>
        <w:rPr>
          <w:rFonts w:ascii="Times New Roman" w:cs="Times New Roman" w:eastAsia="Times New Roman" w:hAnsi="Times New Roman"/>
          <w:sz w:val="18"/>
          <w:szCs w:val="18"/>
          <w:color w:val="auto"/>
        </w:rPr>
        <w:t>Self-directed brokerage account: Valued at the closing price reported on the active market on which the individual securities are traded.</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Company common stock: Valued using the share value calculated from the observable market price of the PCA common stock.</w:t>
      </w:r>
    </w:p>
    <w:p>
      <w:pPr>
        <w:spacing w:after="0" w:line="225" w:lineRule="exact"/>
        <w:rPr>
          <w:sz w:val="20"/>
          <w:szCs w:val="20"/>
          <w:color w:val="auto"/>
        </w:rPr>
      </w:pPr>
    </w:p>
    <w:p>
      <w:pPr>
        <w:ind w:left="660" w:right="760" w:firstLine="441"/>
        <w:spacing w:after="0" w:line="261" w:lineRule="auto"/>
        <w:rPr>
          <w:sz w:val="20"/>
          <w:szCs w:val="20"/>
          <w:color w:val="auto"/>
        </w:rPr>
      </w:pPr>
      <w:r>
        <w:rPr>
          <w:rFonts w:ascii="Times New Roman" w:cs="Times New Roman" w:eastAsia="Times New Roman" w:hAnsi="Times New Roman"/>
          <w:sz w:val="18"/>
          <w:szCs w:val="18"/>
          <w:color w:val="auto"/>
        </w:rPr>
        <w:t>Collective trust funds, target date collective funds, and short-term investment funds: Valued using the NAV per share practical expedient since these assets do not have readily determinable fair values and are subsequently excluded from the fair value hierarchy. In general, there are no restrictions on the redemption of these funds, which is permitted daily upon proper notice, and there are no unfunded commitments associated with these funds.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Master Trust’s assets carried at fair value: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Value (NAV)</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Master Trust assets (b)(c):</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Self-directed brokerage</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68,568,900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68,568,900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Company common stock</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224,735,489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224,735,489</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Collective trust funds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1,796,495,832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1,796,495,832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Target date collective funds</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858,158,743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858,158,743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 funds</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7,947,737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7,947,737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Master Trust assets</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293,304,389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2,662,602,312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2,955,906,701</w:t>
            </w:r>
          </w:p>
        </w:tc>
        <w:tc>
          <w:tcPr>
            <w:tcW w:w="100" w:type="dxa"/>
            <w:vAlign w:val="bottom"/>
            <w:shd w:val="clear" w:color="auto" w:fill="CFF0FC"/>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660" w:type="dxa"/>
            <w:vAlign w:val="bottom"/>
          </w:tcPr>
          <w:p>
            <w:pPr>
              <w:spacing w:after="0"/>
              <w:rPr>
                <w:sz w:val="24"/>
                <w:szCs w:val="24"/>
                <w:color w:val="auto"/>
              </w:rPr>
            </w:pPr>
          </w:p>
        </w:tc>
        <w:tc>
          <w:tcPr>
            <w:tcW w:w="260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-933450</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-916305</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-933450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-916305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4767580</wp:posOffset>
            </wp:positionH>
            <wp:positionV relativeFrom="paragraph">
              <wp:posOffset>-933450</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4767580</wp:posOffset>
            </wp:positionH>
            <wp:positionV relativeFrom="paragraph">
              <wp:posOffset>-916305</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-933450</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-916305</wp:posOffset>
            </wp:positionV>
            <wp:extent cx="60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-933450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-916305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40"/>
          </w:cols>
          <w:pgMar w:left="420" w:top="1332"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Value (NAV)</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Master Trust assets (b)(c):</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Self-directed brokerage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63,933,022</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63,933,022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Company common stock</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249,819,280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249,819,280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Collective trust funds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1,505,906,782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1,505,906,782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Target date collective funds</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763,362,777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763,362,777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 funds</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10,243,503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Master Trust assets</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313,752,302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2,279,513,062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2,593,265,364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-24765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-7620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-24765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-7620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-24765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-7620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-24765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-7620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440" w:right="160" w:hanging="436"/>
        <w:spacing w:after="0" w:line="261"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determined that certain assets held in the Master Trust that do not have readily determinable fair values are measured at fair value using the NAV per share practical expedient and are not classified within the fair value hierarchy.</w:t>
      </w:r>
    </w:p>
    <w:p>
      <w:pPr>
        <w:ind w:left="440" w:right="200" w:hanging="436"/>
        <w:spacing w:after="0" w:line="260"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Trust holds a portfolio of synthetic guaranteed investment contracts within the PCA Stable Value Fund, which are measured at contract value and are therefore not included in the fair value hierarchy.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Synthetic Guaranteed Investment Contracts</w:t>
      </w:r>
    </w:p>
    <w:p>
      <w:pPr>
        <w:spacing w:after="0" w:line="121"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2025 and 2024, the Plan, through the PCA Stable Value Fund within the Master Trust, held investments in a portfolio of synthetic guaranteed investment contracts. The contracts in the PCA Stable Value Fund are fully benefit-responsive and therefore they are reported at contract value. Contract value is the relevant measure for fully benefit-responsive investment contracts because this is the amount that participants would receive if they were to initiate permitted transactions under the terms of the Master Trust and Plan. The contract value is calculated from the contributions made under the contracts plus interest credited less participant withdrawals and fees.</w:t>
      </w:r>
    </w:p>
    <w:p>
      <w:pPr>
        <w:spacing w:after="0" w:line="187"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PCA Stable Value Fund primarily invests in synthetic security-backed investment contracts and cash funds. Synthetic security-backed investment contracts are issued by insurance companies and other financial institutions (the “wrap contracts”) that are backed by a portfolio of bonds, fixed income common/collective trust funds, or other fixed income securities (the “underlying assets”) that are owned by the Master Trust and Plan.</w:t>
      </w:r>
    </w:p>
    <w:p>
      <w:pPr>
        <w:spacing w:after="0" w:line="180"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wrap contract issuers provide a rate of return that has a zero percent floor guarantee and provide full benefit responsiveness, provided that all terms of the wrap contracts have been met. Under the contracts, realized and unrealized gains and losses on the underlying assets are not immediately recognized in the net assets of the Master Trust and Plan, but are amortized over the maturity or duration of the underlying assets, through adjustments to the future interest crediting rate of the wrap contracts.</w:t>
      </w:r>
    </w:p>
    <w:p>
      <w:pPr>
        <w:spacing w:after="0" w:line="180" w:lineRule="exact"/>
        <w:rPr>
          <w:sz w:val="20"/>
          <w:szCs w:val="20"/>
          <w:color w:val="auto"/>
        </w:rPr>
      </w:pPr>
    </w:p>
    <w:p>
      <w:pPr>
        <w:jc w:val="both"/>
        <w:ind w:right="100" w:firstLine="441"/>
        <w:spacing w:after="0" w:line="272" w:lineRule="auto"/>
        <w:rPr>
          <w:sz w:val="20"/>
          <w:szCs w:val="20"/>
          <w:color w:val="auto"/>
        </w:rPr>
      </w:pPr>
      <w:r>
        <w:rPr>
          <w:rFonts w:ascii="Times New Roman" w:cs="Times New Roman" w:eastAsia="Times New Roman" w:hAnsi="Times New Roman"/>
          <w:sz w:val="17"/>
          <w:szCs w:val="17"/>
          <w:color w:val="auto"/>
        </w:rPr>
        <w:t>As of December 31, 2025 and 2024, there were no reserves against the wrap contract’s carrying values due to credit risks of the issuers. Certain events limit the ability of the Master Trust and Plan to transact at contract value with the wrap contract issuers. Such events may include, but are not limited to, Plan sponsor events that cause significant withdrawals from the PCA Stable Value Fund.</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However, the Master Trust and Plan’s management is not aware of the occurrence, or likely occurrence of any such events, which would limit the Master Trust and Plan’s ability to transact at contract value with the wrap contract issuers. The wrap contracts cannot be terminated by the issuer at a value other than contract value except under a limited number of very specific circumstances such as termination of the Master Trust or Plan or loss of qualified status of the Master Trust or Plan, material misrepresentations by the Master Trust or Plan sponsor or investment manager, the failure of the Plan’s trust to qualify for exemption from federal income taxes or any required prohibited transaction exemption under ERISA, failure by these same parties to meet material obligations under the contracts, or other similar types of events. However, the Master Trust and Plan’s management is unaware of any such events occurring that would allow the wrap contract issuers to terminate the contracts held by the Master Trust and Plan.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Tax Status</w:t>
      </w:r>
    </w:p>
    <w:p>
      <w:pPr>
        <w:spacing w:after="0" w:line="121" w:lineRule="exact"/>
        <w:rPr>
          <w:sz w:val="20"/>
          <w:szCs w:val="20"/>
          <w:color w:val="auto"/>
        </w:rPr>
      </w:pPr>
    </w:p>
    <w:p>
      <w:pPr>
        <w:ind w:right="260" w:firstLine="441"/>
        <w:spacing w:after="0" w:line="256" w:lineRule="auto"/>
        <w:rPr>
          <w:sz w:val="20"/>
          <w:szCs w:val="20"/>
          <w:color w:val="auto"/>
        </w:rPr>
      </w:pPr>
      <w:r>
        <w:rPr>
          <w:rFonts w:ascii="Times New Roman" w:cs="Times New Roman" w:eastAsia="Times New Roman" w:hAnsi="Times New Roman"/>
          <w:sz w:val="18"/>
          <w:szCs w:val="18"/>
          <w:color w:val="auto"/>
        </w:rPr>
        <w:t>The Plan has received a determination letter from the Internal Revenue Service (“IRS”) dated March 2, 2017 stating that the Plan is qualified under Section 401(a) of the Internal Revenue Code (“the Code”) and therefore, the related trust is exempt from taxation. Subsequent to this determination by the IRS, the Plan was amended. Once qualified, the Plan is required to operate in conformity with the Code to maintain its qualified status. The Plan Administrator believes the Plan is being operated in compliance with the applicable requirements of the Code and, therefore, believes the Plan, as amended, is qualified and the related trust is tax-exempt.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76" w:right="1099" w:bottom="1440" w:gutter="0" w:footer="0" w:header="0"/>
        </w:sectPr>
      </w:pPr>
    </w:p>
    <w:bookmarkStart w:id="11" w:name="page12"/>
    <w:bookmarkEnd w:id="11"/>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2025 and 2024, there are no uncertain positions taken or expected to be taken. The Plan has recognized no interest or penalties related to uncertain tax positions. The Plan is subject to routine audits by taxing jurisdictions; however, there are currently no audits for any tax periods in progress.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Risks and Uncertainties</w:t>
      </w:r>
    </w:p>
    <w:p>
      <w:pPr>
        <w:spacing w:after="0" w:line="121"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The Plan, through the Master Trust,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Reconciliation of Financial Statements to Form 5500</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to the Form 5500:</w:t>
      </w:r>
    </w:p>
    <w:p>
      <w:pPr>
        <w:spacing w:after="0" w:line="246"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$ 1,697,061,929</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$ 1,551,332,975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Amounts allocated to withdrawing participants</w:t>
            </w:r>
          </w:p>
        </w:tc>
        <w:tc>
          <w:tcPr>
            <w:tcW w:w="7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(310,255)</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(29,787)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$ 1,696,751,674</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$ 1,551,303,188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4811395</wp:posOffset>
            </wp:positionH>
            <wp:positionV relativeFrom="paragraph">
              <wp:posOffset>-25400</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-7620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-25400</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-7620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net increase per the financial statements to the Form 5500:</w:t>
      </w:r>
    </w:p>
    <w:p>
      <w:pPr>
        <w:spacing w:after="0" w:line="233"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increase per the financial statements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145,728,954</w:t>
            </w:r>
          </w:p>
        </w:tc>
        <w:tc>
          <w:tcPr>
            <w:tcW w:w="8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Amounts allocated to withdrawing participants at December 31, 2024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29,787</w:t>
            </w:r>
          </w:p>
        </w:tc>
        <w:tc>
          <w:tcPr>
            <w:tcW w:w="8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allocated to withdrawing participants at December 31, 2025</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(310,255)</w:t>
            </w:r>
          </w:p>
        </w:tc>
      </w:tr>
      <w:tr>
        <w:trPr>
          <w:trHeight w:val="209"/>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net increase per the Form 5500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145,448,486</w:t>
            </w:r>
          </w:p>
        </w:tc>
        <w:tc>
          <w:tcPr>
            <w:tcW w:w="80" w:type="dxa"/>
            <w:vAlign w:val="bottom"/>
            <w:tcBorders>
              <w:top w:val="single" w:sz="8" w:color="CFF0FC"/>
            </w:tcBorders>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-170815</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Transactions with Parties-in-Interest and Related Parties</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Under ERISA rules related to 401(k) plans, transactions with related parties of the Plan such as a sponsor, administrator, trustee, acquired entities by the Plan sponsor, or participant are considered either exempt or non-exempt from ERISA prohibited transaction provisions. Non-exempt transactions are subject to penalty taxes.</w:t>
      </w:r>
    </w:p>
    <w:p>
      <w:pPr>
        <w:spacing w:after="0" w:line="176" w:lineRule="exact"/>
        <w:rPr>
          <w:sz w:val="20"/>
          <w:szCs w:val="20"/>
          <w:color w:val="auto"/>
        </w:rPr>
      </w:pPr>
    </w:p>
    <w:p>
      <w:pPr>
        <w:jc w:val="both"/>
        <w:ind w:right="240" w:firstLine="441"/>
        <w:spacing w:after="0" w:line="266" w:lineRule="auto"/>
        <w:rPr>
          <w:sz w:val="20"/>
          <w:szCs w:val="20"/>
          <w:color w:val="auto"/>
        </w:rPr>
      </w:pPr>
      <w:r>
        <w:rPr>
          <w:rFonts w:ascii="Times New Roman" w:cs="Times New Roman" w:eastAsia="Times New Roman" w:hAnsi="Times New Roman"/>
          <w:sz w:val="18"/>
          <w:szCs w:val="18"/>
          <w:color w:val="auto"/>
        </w:rPr>
        <w:t>The Plan invests in the common stock of the Company through a common stock fund. These transactions qualify as party-in-interest transactions; however, they are exempt from the prohibited transactions rules under ERISA. During 2025, the Plan received $4,217,604 in common stock dividends from the Company.</w:t>
      </w:r>
    </w:p>
    <w:p>
      <w:pPr>
        <w:spacing w:after="0" w:line="176"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Plan’s recordkeeper, trustee, custodian and investment advisor described in Note 1 are each a party-in-interest to the Plan as defined by ERISA. As of December 31, 2025 and 2024, the Master Trust held two collective trust funds and one short-term investment fund that were managed by Northern Trust, the Plan’s custodian. The transactions associated with these three funds qualify as party-in-interest transactions.</w:t>
      </w:r>
    </w:p>
    <w:p>
      <w:pPr>
        <w:spacing w:after="0" w:line="180"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In addition, notes receivable from participants are considered to be party-in-interest transactions for which a statutory exemption from the prohibited transaction regulation exists.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Plan has evaluated subsequent events after the statement of net assets available for plan benefits date through May 28, 2026, the date that the financial statements were issued.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01" w:right="109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Retirement Savings Plan for Salaried Employees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Schedule H, Line 4i — Schedule of Assets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(Held at End of Year)</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EIN 36-4277050 Plan 002</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Pr>
          <w:p>
            <w:pPr>
              <w:spacing w:after="0"/>
              <w:rPr>
                <w:sz w:val="13"/>
                <w:szCs w:val="13"/>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Identity of Issuer, Lessor, Borrower, or</w:t>
            </w:r>
          </w:p>
        </w:tc>
        <w:tc>
          <w:tcPr>
            <w:tcW w:w="12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Description of Investment, including Maturity Date,</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12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of Interest, Collateral, Par, or Maturity Value</w:t>
            </w:r>
          </w:p>
        </w:tc>
        <w:tc>
          <w:tcPr>
            <w:tcW w:w="1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191"/>
        </w:trPr>
        <w:tc>
          <w:tcPr>
            <w:tcW w:w="580" w:type="dxa"/>
            <w:vAlign w:val="bottom"/>
            <w:shd w:val="clear" w:color="auto" w:fill="CFF0FC"/>
          </w:tcPr>
          <w:p>
            <w:pPr>
              <w:jc w:val="right"/>
              <w:ind w:right="39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Notes Receivable from Participants</w:t>
            </w:r>
          </w:p>
        </w:tc>
        <w:tc>
          <w:tcPr>
            <w:tcW w:w="120" w:type="dxa"/>
            <w:vAlign w:val="bottom"/>
            <w:shd w:val="clear" w:color="auto" w:fill="CFF0FC"/>
          </w:tcPr>
          <w:p>
            <w:pPr>
              <w:spacing w:after="0"/>
              <w:rPr>
                <w:sz w:val="16"/>
                <w:szCs w:val="16"/>
                <w:color w:val="auto"/>
              </w:rPr>
            </w:pPr>
          </w:p>
        </w:tc>
        <w:tc>
          <w:tcPr>
            <w:tcW w:w="356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Interest rates ranging from 3.25% to 9.75%</w:t>
            </w:r>
          </w:p>
        </w:tc>
        <w:tc>
          <w:tcPr>
            <w:tcW w:w="12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shd w:val="clear" w:color="auto" w:fill="CFF0FC"/>
          </w:tcPr>
          <w:p>
            <w:pPr>
              <w:spacing w:after="0"/>
              <w:rPr>
                <w:sz w:val="20"/>
                <w:szCs w:val="20"/>
                <w:color w:val="auto"/>
              </w:rPr>
            </w:pPr>
          </w:p>
        </w:tc>
        <w:tc>
          <w:tcPr>
            <w:tcW w:w="3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Various maturity dates through January 15, 2031</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14,786,603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(Held at End of Year)</w:t>
            </w: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14,786,603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822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a party-in-interest to the Plan as defined by ERISA</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13" w:name="page14"/>
    <w:bookmarkEnd w:id="13"/>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61722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9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14725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981" w:right="1440"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jc w:val="both"/>
        <w:ind w:left="660" w:right="106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Benefits Administration Committee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Packaging Corporation of America has duly caused this annual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Packaging Corporation of America</w:t>
            </w:r>
          </w:p>
        </w:tc>
      </w:tr>
      <w:tr>
        <w:trPr>
          <w:trHeight w:val="234"/>
        </w:trPr>
        <w:tc>
          <w:tcPr>
            <w:tcW w:w="3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 Savings Plan for Salaried Employees</w:t>
            </w:r>
          </w:p>
        </w:tc>
      </w:tr>
      <w:tr>
        <w:trPr>
          <w:trHeight w:val="446"/>
        </w:trPr>
        <w:tc>
          <w:tcPr>
            <w:tcW w:w="3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28, 2026</w:t>
            </w:r>
          </w:p>
        </w:tc>
        <w:tc>
          <w:tcPr>
            <w:tcW w:w="22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FABIAN C. STRAUSS</w:t>
            </w:r>
          </w:p>
        </w:tc>
      </w:tr>
      <w:tr>
        <w:trPr>
          <w:trHeight w:val="189"/>
        </w:trPr>
        <w:tc>
          <w:tcPr>
            <w:tcW w:w="37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38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Fabian C. Strauss</w:t>
            </w:r>
          </w:p>
        </w:tc>
        <w:tc>
          <w:tcPr>
            <w:tcW w:w="660" w:type="dxa"/>
            <w:vAlign w:val="bottom"/>
          </w:tcPr>
          <w:p>
            <w:pPr>
              <w:spacing w:after="0"/>
              <w:rPr>
                <w:sz w:val="16"/>
                <w:szCs w:val="16"/>
                <w:color w:val="auto"/>
              </w:rPr>
            </w:pPr>
          </w:p>
        </w:tc>
      </w:tr>
      <w:tr>
        <w:trPr>
          <w:trHeight w:val="236"/>
        </w:trPr>
        <w:tc>
          <w:tcPr>
            <w:tcW w:w="3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Finance, Controller and Treasurer</w:t>
            </w:r>
          </w:p>
        </w:tc>
      </w:tr>
      <w:tr>
        <w:trPr>
          <w:trHeight w:val="648"/>
        </w:trPr>
        <w:tc>
          <w:tcPr>
            <w:tcW w:w="3760" w:type="dxa"/>
            <w:vAlign w:val="bottom"/>
          </w:tcPr>
          <w:p>
            <w:pPr>
              <w:spacing w:after="0"/>
              <w:rPr>
                <w:sz w:val="24"/>
                <w:szCs w:val="24"/>
                <w:color w:val="auto"/>
              </w:rPr>
            </w:pPr>
          </w:p>
        </w:tc>
        <w:tc>
          <w:tcPr>
            <w:tcW w:w="2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4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May 28, 2026, with respect to the financial statements and supplemental information included in the Annual Report of Packaging Corporation of America Retirement Savings Plan for Salaried Employees on Form 11-K for the year ended December 31, 2025. We consent to the incorporation by reference of said report in the Registration Statement of Packaging Corporation of America in Form S-8 (File No. 333-238155).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764540</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08" w:right="11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2026-05-28T09:49:35Z</dcterms:created>
  <dcterms:modified xsi:type="dcterms:W3CDTF">2026-05-28T09:49:35Z</dcterms:modified>
</cp:coreProperties>
</file>