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4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26"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Date of Report (Date of earliest event reported): October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99695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177165</wp:posOffset>
            </wp:positionV>
            <wp:extent cx="92583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tbl>
      <w:tblPr>
        <w:tblLayout w:type="fixed"/>
        <w:tblInd w:w="1100" w:type="dxa"/>
        <w:tblCellMar>
          <w:top w:w="0" w:type="dxa"/>
          <w:left w:w="0" w:type="dxa"/>
          <w:bottom w:w="0" w:type="dxa"/>
          <w:right w:w="0" w:type="dxa"/>
        </w:tblCellMar>
      </w:tblPr>
      <w:tr>
        <w:trPr>
          <w:trHeight w:val="186"/>
        </w:trPr>
        <w:tc>
          <w:tcPr>
            <w:tcW w:w="2940" w:type="dxa"/>
            <w:vAlign w:val="bottom"/>
          </w:tcPr>
          <w:p>
            <w:pPr>
              <w:jc w:val="center"/>
              <w:ind w:right="1248"/>
              <w:spacing w:after="0"/>
              <w:rPr>
                <w:sz w:val="20"/>
                <w:szCs w:val="20"/>
                <w:color w:val="auto"/>
              </w:rPr>
            </w:pPr>
            <w:r>
              <w:rPr>
                <w:rFonts w:ascii="Arial" w:cs="Arial" w:eastAsia="Arial" w:hAnsi="Arial"/>
                <w:sz w:val="14"/>
                <w:szCs w:val="14"/>
                <w:b w:val="1"/>
                <w:bCs w:val="1"/>
                <w:color w:val="auto"/>
                <w:w w:val="94"/>
              </w:rPr>
              <w:t>Delaware</w:t>
            </w:r>
          </w:p>
        </w:tc>
        <w:tc>
          <w:tcPr>
            <w:tcW w:w="34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1-15399</w:t>
            </w:r>
          </w:p>
        </w:tc>
        <w:tc>
          <w:tcPr>
            <w:tcW w:w="2480" w:type="dxa"/>
            <w:vAlign w:val="bottom"/>
          </w:tcPr>
          <w:p>
            <w:pPr>
              <w:jc w:val="center"/>
              <w:ind w:left="1308"/>
              <w:spacing w:after="0"/>
              <w:rPr>
                <w:sz w:val="20"/>
                <w:szCs w:val="20"/>
                <w:color w:val="auto"/>
              </w:rPr>
            </w:pPr>
            <w:r>
              <w:rPr>
                <w:rFonts w:ascii="Arial" w:cs="Arial" w:eastAsia="Arial" w:hAnsi="Arial"/>
                <w:sz w:val="14"/>
                <w:szCs w:val="14"/>
                <w:b w:val="1"/>
                <w:bCs w:val="1"/>
                <w:color w:val="auto"/>
                <w:w w:val="93"/>
              </w:rPr>
              <w:t>36-4277050</w:t>
            </w:r>
          </w:p>
        </w:tc>
      </w:tr>
      <w:tr>
        <w:trPr>
          <w:trHeight w:val="205"/>
        </w:trPr>
        <w:tc>
          <w:tcPr>
            <w:tcW w:w="2940" w:type="dxa"/>
            <w:vAlign w:val="bottom"/>
          </w:tcPr>
          <w:p>
            <w:pPr>
              <w:jc w:val="center"/>
              <w:ind w:right="1228"/>
              <w:spacing w:after="0"/>
              <w:rPr>
                <w:sz w:val="20"/>
                <w:szCs w:val="20"/>
                <w:color w:val="auto"/>
              </w:rPr>
            </w:pPr>
            <w:r>
              <w:rPr>
                <w:rFonts w:ascii="Arial" w:cs="Arial" w:eastAsia="Arial" w:hAnsi="Arial"/>
                <w:sz w:val="14"/>
                <w:szCs w:val="14"/>
                <w:b w:val="1"/>
                <w:bCs w:val="1"/>
                <w:color w:val="auto"/>
                <w:w w:val="93"/>
              </w:rPr>
              <w:t>(State or other jurisdiction</w:t>
            </w:r>
          </w:p>
        </w:tc>
        <w:tc>
          <w:tcPr>
            <w:tcW w:w="34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(Commission</w:t>
            </w:r>
          </w:p>
        </w:tc>
        <w:tc>
          <w:tcPr>
            <w:tcW w:w="2480" w:type="dxa"/>
            <w:vAlign w:val="bottom"/>
          </w:tcPr>
          <w:p>
            <w:pPr>
              <w:jc w:val="center"/>
              <w:ind w:left="1308"/>
              <w:spacing w:after="0"/>
              <w:rPr>
                <w:sz w:val="20"/>
                <w:szCs w:val="20"/>
                <w:color w:val="auto"/>
              </w:rPr>
            </w:pPr>
            <w:r>
              <w:rPr>
                <w:rFonts w:ascii="Arial" w:cs="Arial" w:eastAsia="Arial" w:hAnsi="Arial"/>
                <w:sz w:val="14"/>
                <w:szCs w:val="14"/>
                <w:b w:val="1"/>
                <w:bCs w:val="1"/>
                <w:color w:val="auto"/>
                <w:w w:val="98"/>
              </w:rPr>
              <w:t>(IRS Employer</w:t>
            </w:r>
          </w:p>
        </w:tc>
      </w:tr>
      <w:tr>
        <w:trPr>
          <w:trHeight w:val="200"/>
        </w:trPr>
        <w:tc>
          <w:tcPr>
            <w:tcW w:w="2940" w:type="dxa"/>
            <w:vAlign w:val="bottom"/>
          </w:tcPr>
          <w:p>
            <w:pPr>
              <w:jc w:val="center"/>
              <w:ind w:right="1228"/>
              <w:spacing w:after="0"/>
              <w:rPr>
                <w:sz w:val="20"/>
                <w:szCs w:val="20"/>
                <w:color w:val="auto"/>
              </w:rPr>
            </w:pPr>
            <w:r>
              <w:rPr>
                <w:rFonts w:ascii="Arial" w:cs="Arial" w:eastAsia="Arial" w:hAnsi="Arial"/>
                <w:sz w:val="14"/>
                <w:szCs w:val="14"/>
                <w:b w:val="1"/>
                <w:bCs w:val="1"/>
                <w:color w:val="auto"/>
                <w:w w:val="92"/>
              </w:rPr>
              <w:t>of incorporation)</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480" w:type="dxa"/>
            <w:vAlign w:val="bottom"/>
          </w:tcPr>
          <w:p>
            <w:pPr>
              <w:jc w:val="center"/>
              <w:ind w:left="128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8"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1 North Field Court, Lake Forest, Illinois 60045</w:t>
      </w:r>
    </w:p>
    <w:p>
      <w:pPr>
        <w:spacing w:after="0" w:line="21"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482-3000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registrants under any of the following provisions:</w:t>
      </w:r>
    </w:p>
    <w:p>
      <w:pPr>
        <w:spacing w:after="0" w:line="109" w:lineRule="exact"/>
        <w:rPr>
          <w:sz w:val="24"/>
          <w:szCs w:val="24"/>
          <w:color w:val="auto"/>
        </w:rPr>
      </w:pPr>
    </w:p>
    <w:p>
      <w:pPr>
        <w:ind w:left="820" w:hanging="799"/>
        <w:spacing w:after="0"/>
        <w:tabs>
          <w:tab w:leader="none" w:pos="8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49" w:lineRule="exact"/>
        <w:rPr>
          <w:rFonts w:ascii="MS PGothic" w:cs="MS PGothic" w:eastAsia="MS PGothic" w:hAnsi="MS PGothic"/>
          <w:sz w:val="14"/>
          <w:szCs w:val="14"/>
          <w:color w:val="auto"/>
        </w:rPr>
      </w:pPr>
    </w:p>
    <w:p>
      <w:pPr>
        <w:ind w:left="820" w:hanging="799"/>
        <w:spacing w:after="0"/>
        <w:tabs>
          <w:tab w:leader="none" w:pos="8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49" w:lineRule="exact"/>
        <w:rPr>
          <w:rFonts w:ascii="MS PGothic" w:cs="MS PGothic" w:eastAsia="MS PGothic" w:hAnsi="MS PGothic"/>
          <w:sz w:val="14"/>
          <w:szCs w:val="14"/>
          <w:color w:val="auto"/>
        </w:rPr>
      </w:pPr>
    </w:p>
    <w:p>
      <w:pPr>
        <w:ind w:left="820" w:hanging="799"/>
        <w:spacing w:after="0"/>
        <w:tabs>
          <w:tab w:leader="none" w:pos="8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 (b) under the Exchange Act (17 CFR 240.14d-2 (b))</w:t>
      </w:r>
    </w:p>
    <w:p>
      <w:pPr>
        <w:spacing w:after="0" w:line="149" w:lineRule="exact"/>
        <w:rPr>
          <w:rFonts w:ascii="MS PGothic" w:cs="MS PGothic" w:eastAsia="MS PGothic" w:hAnsi="MS PGothic"/>
          <w:sz w:val="14"/>
          <w:szCs w:val="14"/>
          <w:color w:val="auto"/>
        </w:rPr>
      </w:pPr>
    </w:p>
    <w:p>
      <w:pPr>
        <w:ind w:left="820" w:hanging="799"/>
        <w:spacing w:after="0"/>
        <w:tabs>
          <w:tab w:leader="none" w:pos="8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 (c) under the Exchange Act (17 CFR 240.13e-4 (c))</w:t>
      </w:r>
    </w:p>
    <w:p>
      <w:pPr>
        <w:spacing w:after="0" w:line="190" w:lineRule="exact"/>
        <w:rPr>
          <w:sz w:val="24"/>
          <w:szCs w:val="24"/>
          <w:color w:val="auto"/>
        </w:rPr>
      </w:pPr>
    </w:p>
    <w:p>
      <w:pPr>
        <w:ind w:right="32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8" w:lineRule="exact"/>
        <w:rPr>
          <w:sz w:val="24"/>
          <w:szCs w:val="24"/>
          <w:color w:val="auto"/>
        </w:rPr>
      </w:pPr>
    </w:p>
    <w:p>
      <w:pPr>
        <w:ind w:right="5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Exchange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52"/>
        </w:trPr>
        <w:tc>
          <w:tcPr>
            <w:tcW w:w="372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4"/>
              </w:rPr>
              <w:t>Common Stock</w:t>
            </w:r>
          </w:p>
        </w:tc>
        <w:tc>
          <w:tcPr>
            <w:tcW w:w="372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PKG</w:t>
            </w:r>
          </w:p>
        </w:tc>
        <w:tc>
          <w:tcPr>
            <w:tcW w:w="380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2"/>
              </w:rPr>
              <w:t>New York Stock Exchange</w:t>
            </w:r>
          </w:p>
        </w:tc>
      </w:tr>
      <w:tr>
        <w:trPr>
          <w:trHeight w:val="128"/>
        </w:trPr>
        <w:tc>
          <w:tcPr>
            <w:tcW w:w="372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528"/>
        </w:trPr>
        <w:tc>
          <w:tcPr>
            <w:tcW w:w="37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right="40" w:firstLine="749"/>
        <w:spacing w:after="0" w:line="286" w:lineRule="auto"/>
        <w:rPr>
          <w:sz w:val="20"/>
          <w:szCs w:val="20"/>
          <w:color w:val="auto"/>
        </w:rPr>
      </w:pPr>
      <w:r>
        <w:rPr>
          <w:rFonts w:ascii="Arial" w:cs="Arial" w:eastAsia="Arial" w:hAnsi="Arial"/>
          <w:sz w:val="17"/>
          <w:szCs w:val="17"/>
          <w:color w:val="auto"/>
        </w:rPr>
        <w:t>The information furnished in this Item 2.02, including the exhibit described below, shall not be deemed “filed” hereunder for purposes of Section 18 of the Securities Exchange Act of 1934, as amended (the “Exchange Act”), or incorporated by reference in any filing under the Securities Exchange Act of 1933, as amended, or the Exchange Act, except as shall be expressly set forth by specific reference in such a filing.</w:t>
      </w:r>
    </w:p>
    <w:p>
      <w:pPr>
        <w:spacing w:after="0" w:line="165"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On October 23, 2023, Packaging Corporation of America issued a press release announcing third quarter financial results. The press release is furnished as Exhibit 99.1 and is incorporated into this Item 2.02 by reference.</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color w:val="auto"/>
              </w:rPr>
              <w:t>99.1</w:t>
            </w:r>
          </w:p>
        </w:tc>
        <w:tc>
          <w:tcPr>
            <w:tcW w:w="10060" w:type="dxa"/>
            <w:vAlign w:val="bottom"/>
            <w:gridSpan w:val="2"/>
          </w:tcPr>
          <w:p>
            <w:pPr>
              <w:spacing w:after="0"/>
              <w:rPr>
                <w:sz w:val="20"/>
                <w:szCs w:val="20"/>
                <w:color w:val="auto"/>
              </w:rPr>
            </w:pPr>
            <w:r>
              <w:rPr>
                <w:rFonts w:ascii="Arial" w:cs="Arial" w:eastAsia="Arial" w:hAnsi="Arial"/>
                <w:sz w:val="18"/>
                <w:szCs w:val="18"/>
                <w:color w:val="0000FF"/>
              </w:rPr>
              <w:t>Third Quarter 2023 Earnings Press Release dated October 23, 2023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100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1"/>
        </w:trPr>
        <w:tc>
          <w:tcPr>
            <w:tcW w:w="11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PACKAGING CORPORATION OF AMERICA</w:t>
      </w:r>
    </w:p>
    <w:p>
      <w:pPr>
        <w:spacing w:after="0" w:line="3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78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23495</wp:posOffset>
            </wp:positionV>
            <wp:extent cx="3128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8" w:lineRule="exact"/>
        <w:rPr>
          <w:sz w:val="20"/>
          <w:szCs w:val="20"/>
          <w:color w:val="auto"/>
        </w:rPr>
      </w:pPr>
    </w:p>
    <w:p>
      <w:pPr>
        <w:ind w:left="6380"/>
        <w:spacing w:after="0"/>
        <w:rPr>
          <w:sz w:val="20"/>
          <w:szCs w:val="20"/>
          <w:color w:val="auto"/>
        </w:rPr>
      </w:pPr>
      <w:r>
        <w:rPr>
          <w:rFonts w:ascii="Arial" w:cs="Arial" w:eastAsia="Arial" w:hAnsi="Arial"/>
          <w:sz w:val="16"/>
          <w:szCs w:val="16"/>
          <w:i w:val="1"/>
          <w:iCs w:val="1"/>
          <w:color w:val="auto"/>
        </w:rPr>
        <w:t>Senior Vice President, Finance and Controller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PACKAGING CORPORATION OF AMERICA REPORTS THIRD QUARTER 2023 RESULTS</w:t>
      </w:r>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Lake Forest, IL, October 23, 2023 </w:t>
      </w:r>
      <w:r>
        <w:rPr>
          <w:rFonts w:ascii="Arial" w:cs="Arial" w:eastAsia="Arial" w:hAnsi="Arial"/>
          <w:sz w:val="18"/>
          <w:szCs w:val="18"/>
          <w:color w:val="auto"/>
        </w:rPr>
        <w:t>– Packaging Corporation of America (NYSE: PKG) today reported third quarter 2023 net income of $183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$2.03 per share, and net income of $185 million, or $2.05 per share, excluding special items. Third quarter net sales were $1.9 billion in 2023 and $2.1 billion in 2022.</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00" w:type="dxa"/>
            <w:vAlign w:val="bottom"/>
            <w:gridSpan w:val="7"/>
          </w:tcPr>
          <w:p>
            <w:pPr>
              <w:ind w:left="1660"/>
              <w:spacing w:after="0"/>
              <w:rPr>
                <w:sz w:val="20"/>
                <w:szCs w:val="20"/>
                <w:color w:val="auto"/>
              </w:rPr>
            </w:pPr>
            <w:r>
              <w:rPr>
                <w:rFonts w:ascii="Arial" w:cs="Arial" w:eastAsia="Arial" w:hAnsi="Arial"/>
                <w:sz w:val="14"/>
                <w:szCs w:val="14"/>
                <w:b w:val="1"/>
                <w:bCs w:val="1"/>
                <w:color w:val="auto"/>
                <w:w w:val="93"/>
              </w:rPr>
              <w:t>Diluted earnings per share attributable to Packaging Corporation of America shareholders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1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r>
      <w:tr>
        <w:trPr>
          <w:trHeight w:val="237"/>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Reported Diluted EPS</w:t>
            </w:r>
          </w:p>
        </w:tc>
        <w:tc>
          <w:tcPr>
            <w:tcW w:w="700" w:type="dxa"/>
            <w:vAlign w:val="bottom"/>
            <w:tcBorders>
              <w:top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2.03</w:t>
            </w:r>
          </w:p>
        </w:tc>
        <w:tc>
          <w:tcPr>
            <w:tcW w:w="22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2.80</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530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Special Items Expense </w:t>
            </w:r>
            <w:r>
              <w:rPr>
                <w:rFonts w:ascii="Arial" w:cs="Arial" w:eastAsia="Arial" w:hAnsi="Arial"/>
                <w:sz w:val="24"/>
                <w:szCs w:val="24"/>
                <w:color w:val="auto"/>
                <w:vertAlign w:val="superscript"/>
              </w:rPr>
              <w:t>(1)</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0.02</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(0.01 )</w:t>
            </w:r>
          </w:p>
        </w:tc>
      </w:tr>
      <w:tr>
        <w:trPr>
          <w:trHeight w:val="277"/>
        </w:trPr>
        <w:tc>
          <w:tcPr>
            <w:tcW w:w="5300" w:type="dxa"/>
            <w:vAlign w:val="bottom"/>
            <w:tcBorders>
              <w:bottom w:val="single" w:sz="8" w:color="CFF0FC"/>
            </w:tcBorders>
            <w:gridSpan w:val="2"/>
            <w:shd w:val="clear" w:color="auto" w:fill="CFF0FC"/>
          </w:tcPr>
          <w:p>
            <w:pPr>
              <w:spacing w:after="0" w:line="236" w:lineRule="exact"/>
              <w:rPr>
                <w:sz w:val="20"/>
                <w:szCs w:val="20"/>
                <w:color w:val="auto"/>
              </w:rPr>
            </w:pPr>
            <w:r>
              <w:rPr>
                <w:rFonts w:ascii="Arial" w:cs="Arial" w:eastAsia="Arial" w:hAnsi="Arial"/>
                <w:sz w:val="18"/>
                <w:szCs w:val="18"/>
                <w:color w:val="auto"/>
              </w:rPr>
              <w:t xml:space="preserve">Diluted EPS excluding Special Items </w:t>
            </w:r>
            <w:r>
              <w:rPr>
                <w:rFonts w:ascii="Arial" w:cs="Arial" w:eastAsia="Arial" w:hAnsi="Arial"/>
                <w:sz w:val="24"/>
                <w:szCs w:val="24"/>
                <w:color w:val="auto"/>
                <w:vertAlign w:val="superscript"/>
              </w:rPr>
              <w:t>(2)</w:t>
            </w: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6"/>
              </w:rPr>
              <w:t>2.05</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2.83</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(0.78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165417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386080"/>
                    </a:xfrm>
                    <a:prstGeom prst="rect">
                      <a:avLst/>
                    </a:prstGeom>
                    <a:noFill/>
                  </pic:spPr>
                </pic:pic>
              </a:graphicData>
            </a:graphic>
          </wp:anchor>
        </w:drawing>
      </w:r>
    </w:p>
    <w:p>
      <w:pPr>
        <w:spacing w:after="0" w:line="99" w:lineRule="exact"/>
        <w:rPr>
          <w:sz w:val="20"/>
          <w:szCs w:val="20"/>
          <w:color w:val="auto"/>
        </w:rPr>
      </w:pPr>
    </w:p>
    <w:p>
      <w:pPr>
        <w:ind w:left="1300" w:hanging="151"/>
        <w:spacing w:after="0"/>
        <w:tabs>
          <w:tab w:leader="none" w:pos="130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For descriptions and amounts of our special items, see the schedules with this release.</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Reported earnings in the third quarter of 2023 include special items primarily for certain costs at the Jackson, AL mill for paper-to-containerboard conversion related activities.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Excluding special items, the ($.78) per share decrease in third quarter 2023 earnings compared to the third quarter of 2022 was driven primarily by lower price and mix ($1.33) and volume ($.09) in the Packaging segment, higher depreciation expense ($.11), lower volume in the Paper segment ($.04), a higher tax rate ($.02), and other expenses ($.02). These items were partially offset by lower operating costs $.58, a lower share count resulting from share repurchases in the second half of 2022 $.11, higher prices and mix in the Paper segment $.04, lower converting costs $.04, lower scheduled maintenance outage expenses $.04, and lower freight and logistics expenses $.02.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were $.17 above third quarter guidance of $1.88 per share primarily due to higher volume in the Packaging and Paper segments and lower operating and converting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segment is summarized below and in the schedules with this release.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240" w:type="dxa"/>
            <w:vAlign w:val="bottom"/>
            <w:gridSpan w:val="4"/>
          </w:tcPr>
          <w:p>
            <w:pPr>
              <w:jc w:val="center"/>
              <w:ind w:left="346"/>
              <w:spacing w:after="0"/>
              <w:rPr>
                <w:sz w:val="20"/>
                <w:szCs w:val="20"/>
                <w:color w:val="auto"/>
              </w:rPr>
            </w:pPr>
            <w:r>
              <w:rPr>
                <w:rFonts w:ascii="Arial" w:cs="Arial" w:eastAsia="Arial" w:hAnsi="Arial"/>
                <w:sz w:val="14"/>
                <w:szCs w:val="14"/>
                <w:color w:val="auto"/>
                <w:w w:val="98"/>
              </w:rPr>
              <w:t>(dollars in millions)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5"/>
        </w:trPr>
        <w:tc>
          <w:tcPr>
            <w:tcW w:w="11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40" w:type="dxa"/>
            <w:vAlign w:val="bottom"/>
            <w:tcBorders>
              <w:bottom w:val="single" w:sz="8" w:color="auto"/>
            </w:tcBorders>
            <w:gridSpan w:val="4"/>
          </w:tcPr>
          <w:p>
            <w:pPr>
              <w:jc w:val="center"/>
              <w:ind w:left="346"/>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291"/>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7"/>
        </w:trPr>
        <w:tc>
          <w:tcPr>
            <w:tcW w:w="11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1140" w:type="dxa"/>
            <w:vAlign w:val="bottom"/>
          </w:tcPr>
          <w:p>
            <w:pPr>
              <w:spacing w:after="0"/>
              <w:rPr>
                <w:sz w:val="21"/>
                <w:szCs w:val="21"/>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income (loss)</w:t>
            </w: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Packaging</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256.8</w:t>
            </w:r>
          </w:p>
        </w:tc>
        <w:tc>
          <w:tcPr>
            <w:tcW w:w="200" w:type="dxa"/>
            <w:vAlign w:val="bottom"/>
          </w:tcPr>
          <w:p>
            <w:pPr>
              <w:spacing w:after="0"/>
              <w:rPr>
                <w:sz w:val="20"/>
                <w:szCs w:val="20"/>
                <w:color w:val="auto"/>
              </w:rPr>
            </w:pP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359.2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Paper</w:t>
            </w: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Corporate and Other</w:t>
            </w:r>
          </w:p>
        </w:tc>
        <w:tc>
          <w:tcPr>
            <w:tcW w:w="7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(25.8 )</w:t>
            </w:r>
          </w:p>
        </w:tc>
        <w:tc>
          <w:tcPr>
            <w:tcW w:w="8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(25.0 )</w:t>
            </w:r>
          </w:p>
        </w:tc>
        <w:tc>
          <w:tcPr>
            <w:tcW w:w="1120" w:type="dxa"/>
            <w:vAlign w:val="bottom"/>
          </w:tcPr>
          <w:p>
            <w:pPr>
              <w:spacing w:after="0"/>
              <w:rPr>
                <w:sz w:val="20"/>
                <w:szCs w:val="20"/>
                <w:color w:val="auto"/>
              </w:rPr>
            </w:pPr>
          </w:p>
        </w:tc>
      </w:tr>
      <w:tr>
        <w:trPr>
          <w:trHeight w:val="278"/>
        </w:trPr>
        <w:tc>
          <w:tcPr>
            <w:tcW w:w="1140" w:type="dxa"/>
            <w:vAlign w:val="bottom"/>
          </w:tcPr>
          <w:p>
            <w:pPr>
              <w:spacing w:after="0"/>
              <w:rPr>
                <w:sz w:val="24"/>
                <w:szCs w:val="24"/>
                <w:color w:val="auto"/>
              </w:rPr>
            </w:pPr>
          </w:p>
        </w:tc>
        <w:tc>
          <w:tcPr>
            <w:tcW w:w="6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258.6</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360.3</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11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income (loss) excluding special items</w:t>
            </w: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Packaging</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256.7</w:t>
            </w:r>
          </w:p>
        </w:tc>
        <w:tc>
          <w:tcPr>
            <w:tcW w:w="200" w:type="dxa"/>
            <w:vAlign w:val="bottom"/>
          </w:tcPr>
          <w:p>
            <w:pPr>
              <w:spacing w:after="0"/>
              <w:rPr>
                <w:sz w:val="20"/>
                <w:szCs w:val="20"/>
                <w:color w:val="auto"/>
              </w:rPr>
            </w:pP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362.0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Paper</w:t>
            </w: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Corporate and Other</w:t>
            </w:r>
          </w:p>
        </w:tc>
        <w:tc>
          <w:tcPr>
            <w:tcW w:w="7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(25.8 )</w:t>
            </w:r>
          </w:p>
        </w:tc>
        <w:tc>
          <w:tcPr>
            <w:tcW w:w="8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(25.0 )</w:t>
            </w:r>
          </w:p>
        </w:tc>
        <w:tc>
          <w:tcPr>
            <w:tcW w:w="1120" w:type="dxa"/>
            <w:vAlign w:val="bottom"/>
          </w:tcPr>
          <w:p>
            <w:pPr>
              <w:spacing w:after="0"/>
              <w:rPr>
                <w:sz w:val="20"/>
                <w:szCs w:val="20"/>
                <w:color w:val="auto"/>
              </w:rPr>
            </w:pPr>
          </w:p>
        </w:tc>
      </w:tr>
      <w:tr>
        <w:trPr>
          <w:trHeight w:val="279"/>
        </w:trPr>
        <w:tc>
          <w:tcPr>
            <w:tcW w:w="1140" w:type="dxa"/>
            <w:vAlign w:val="bottom"/>
          </w:tcPr>
          <w:p>
            <w:pPr>
              <w:spacing w:after="0"/>
              <w:rPr>
                <w:sz w:val="24"/>
                <w:szCs w:val="24"/>
                <w:color w:val="auto"/>
              </w:rPr>
            </w:pPr>
          </w:p>
        </w:tc>
        <w:tc>
          <w:tcPr>
            <w:tcW w:w="6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261.1</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364.4</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11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EBITDA excluding special items</w:t>
            </w: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Packaging</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374.2</w:t>
            </w:r>
          </w:p>
        </w:tc>
        <w:tc>
          <w:tcPr>
            <w:tcW w:w="200" w:type="dxa"/>
            <w:vAlign w:val="bottom"/>
          </w:tcPr>
          <w:p>
            <w:pPr>
              <w:spacing w:after="0"/>
              <w:rPr>
                <w:sz w:val="20"/>
                <w:szCs w:val="20"/>
                <w:color w:val="auto"/>
              </w:rPr>
            </w:pP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467.1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Paper</w:t>
            </w: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Corporate and Other</w:t>
            </w:r>
          </w:p>
        </w:tc>
        <w:tc>
          <w:tcPr>
            <w:tcW w:w="7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(21.8 )</w:t>
            </w:r>
          </w:p>
        </w:tc>
        <w:tc>
          <w:tcPr>
            <w:tcW w:w="8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(22.6 )</w:t>
            </w:r>
          </w:p>
        </w:tc>
        <w:tc>
          <w:tcPr>
            <w:tcW w:w="1120" w:type="dxa"/>
            <w:vAlign w:val="bottom"/>
          </w:tcPr>
          <w:p>
            <w:pPr>
              <w:spacing w:after="0"/>
              <w:rPr>
                <w:sz w:val="20"/>
                <w:szCs w:val="20"/>
                <w:color w:val="auto"/>
              </w:rPr>
            </w:pPr>
          </w:p>
        </w:tc>
      </w:tr>
      <w:tr>
        <w:trPr>
          <w:trHeight w:val="279"/>
        </w:trPr>
        <w:tc>
          <w:tcPr>
            <w:tcW w:w="1140" w:type="dxa"/>
            <w:vAlign w:val="bottom"/>
          </w:tcPr>
          <w:p>
            <w:pPr>
              <w:spacing w:after="0"/>
              <w:rPr>
                <w:sz w:val="24"/>
                <w:szCs w:val="24"/>
                <w:color w:val="auto"/>
              </w:rPr>
            </w:pPr>
          </w:p>
        </w:tc>
        <w:tc>
          <w:tcPr>
            <w:tcW w:w="6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387.8</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477.1</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532"/>
        </w:trPr>
        <w:tc>
          <w:tcPr>
            <w:tcW w:w="114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-2305050</wp:posOffset>
            </wp:positionV>
            <wp:extent cx="9683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8375" cy="18034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-1344930</wp:posOffset>
            </wp:positionV>
            <wp:extent cx="96837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8375" cy="1797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-385445</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-367665</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-385445</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-367665</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both"/>
        <w:spacing w:after="0" w:line="301" w:lineRule="auto"/>
        <w:rPr>
          <w:sz w:val="20"/>
          <w:szCs w:val="20"/>
          <w:color w:val="auto"/>
        </w:rPr>
      </w:pPr>
      <w:r>
        <w:rPr>
          <w:rFonts w:ascii="Arial" w:cs="Arial" w:eastAsia="Arial" w:hAnsi="Arial"/>
          <w:sz w:val="16"/>
          <w:szCs w:val="16"/>
          <w:color w:val="auto"/>
        </w:rPr>
        <w:t>In the Packaging segment, corrugated products shipments per day were up 1.9% over last year’s third quarter and total shipments, with two less shipping days, were down (1.3%). Shipments per day were up 3.9% versus the second quarter of 2023. Containerboard production was 1,118,000 tons, and containerboard inventory was down 84,000 tons from the third quarter of 2022 and down 12,000 tons compared to the second quarter of 2023. In the Paper segment, sales volume was down 10,000 tons compared to the third quarter of 2022, and up 14,000 tons compared to the second quarter of 2023.</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Commenting on reported results, Mark W. Kowlzan, Chairman and CEO, said, “We were able to exceed our guidance for the quarter with better demand in our Packaging and Paper segments and by remaining focused on process efficiency optimization efforts across our mills and corrugated products facilities. The scheduled maintenance outages at our mills were executed well, and we also ran the containerboard system in a very cost-effective manner to match our supply with demand, which included keeping our Wallula, WA mill temporarily idled during the quarter. With the stronger demand in our Packaging segment, we ended the quarter with inventory levels lower than anticipated. Based on our current outlook for improving demand together with current plans in the first half of 2024 for scheduled mill maintenance outages and completing the final phase of the containerboard conversion of the No. 3 machine at our Jackson, AL mill, we are planning to restart the No. 3 machine at our Wallula mill during the fourth quarter in order to bring our inventories to desired levels.”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"Looking ahead as we move from the third and into the fourth quarter,” Mr. Kowlzan added, “in our Packaging segment, we expect less market-related downtime as we build our inventories back to appropriate levels along with higher shipments per day in our corrugated products facilities, although our plants will have one less shipping day compared to the third quarter. We also expect lower average prices primarily due to the majority of the May decrease in the published benchmark index grades being realized throughout the third quarter as well as a seasonally less rich mix. In our Paper segment, volume will be lower compared to the seasonally stronger third quarter, and prices and mix are assumed to trend lower with declines in the index prices. Operating and converting costs will increase driven by higher recycled fiber prices, seasonal energy costs, and the re-start of the Wallula mill. Depreciation expense is estimated to be slightly higher, and scheduled maintenance outage expenses will be lower. Considering these items, we expect fourth quarter earnings of $1.76 per share."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present various non-GAAP financial measures in this press release, including diluted EPS excluding special items, segment income excluding special items and EBITDA excluding special items. We provide information regarding our use of non-GAAP financial measures and reconciliations of historical non-GAAP financial measures presented in this press release to the most comparable measure reported in accordance with GAAP in the schedules to this press release. We present our earnings expectation for the upcoming quarter excluding special items as special items are difficult to predict and quantify and may reflect the effect of future events. We currently anticipate special items in the fourth quarter of 2023 to include charges, fees, and expenses for paper-to-containerboard conversion related activities at the Jackson, AL mill. We do not currently expect any additional significant special items during the fourth quarter; however, additional special items may arise due to fourth quarter events.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PCA is the third largest producer of containerboard products and a leading producer of uncoated freesheet paper in North America. PCA operates eight mills and 86 corrugated products plants and related facilities.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the statements in this press release are forward-looking statements. Forward-looking statements include statements about our future earnings and financial condition, the impact of the COVID-19 pandemic on our business, expected benefits from acquisitions and restructuring activities, our industry and our business strategy.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Among the factors that could cause plans, actions and results to differ materially from PCA’s current expectations include the following: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2022, and in subsequent quarterly reports on Form 10-Q, filed with the Securities and Exchange Commission and available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Barbara Sessions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(877) 454-2509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PCA’s Website: www.packagingcorp.com</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Conference Call Information:</w:t>
            </w:r>
          </w:p>
        </w:tc>
        <w:tc>
          <w:tcPr>
            <w:tcW w:w="8560" w:type="dxa"/>
            <w:vAlign w:val="bottom"/>
          </w:tcPr>
          <w:p>
            <w:pPr>
              <w:spacing w:after="0"/>
              <w:rPr>
                <w:sz w:val="17"/>
                <w:szCs w:val="17"/>
                <w:color w:val="auto"/>
              </w:rPr>
            </w:pPr>
          </w:p>
        </w:tc>
      </w:tr>
      <w:tr>
        <w:trPr>
          <w:trHeight w:val="465"/>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WHAT:</w:t>
            </w:r>
          </w:p>
        </w:tc>
        <w:tc>
          <w:tcPr>
            <w:tcW w:w="440" w:type="dxa"/>
            <w:vAlign w:val="bottom"/>
          </w:tcPr>
          <w:p>
            <w:pPr>
              <w:spacing w:after="0"/>
              <w:rPr>
                <w:sz w:val="24"/>
                <w:szCs w:val="24"/>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Packaging Corporation of America’s 3rd Quarter 2023 Earnings Conference Call</w:t>
            </w:r>
          </w:p>
        </w:tc>
      </w:tr>
      <w:tr>
        <w:trPr>
          <w:trHeight w:val="230"/>
        </w:trPr>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Conference ID: Packaging Corporation of America</w:t>
            </w:r>
          </w:p>
        </w:tc>
      </w:tr>
      <w:tr>
        <w:trPr>
          <w:trHeight w:val="459"/>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WHEN:</w:t>
            </w:r>
          </w:p>
        </w:tc>
        <w:tc>
          <w:tcPr>
            <w:tcW w:w="8560" w:type="dxa"/>
            <w:vAlign w:val="bottom"/>
          </w:tcPr>
          <w:p>
            <w:pPr>
              <w:ind w:left="280"/>
              <w:spacing w:after="0"/>
              <w:rPr>
                <w:sz w:val="20"/>
                <w:szCs w:val="20"/>
                <w:color w:val="auto"/>
              </w:rPr>
            </w:pPr>
            <w:r>
              <w:rPr>
                <w:rFonts w:ascii="Arial" w:cs="Arial" w:eastAsia="Arial" w:hAnsi="Arial"/>
                <w:sz w:val="18"/>
                <w:szCs w:val="18"/>
                <w:color w:val="auto"/>
              </w:rPr>
              <w:t>Tuesday, October 24, 2023 at 9:00am Eastern Time</w:t>
            </w:r>
          </w:p>
        </w:tc>
      </w:tr>
      <w:tr>
        <w:trPr>
          <w:trHeight w:val="458"/>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PRE-REGISTRATION:</w:t>
            </w:r>
          </w:p>
        </w:tc>
        <w:tc>
          <w:tcPr>
            <w:tcW w:w="8560" w:type="dxa"/>
            <w:vAlign w:val="bottom"/>
          </w:tcPr>
          <w:p>
            <w:pPr>
              <w:ind w:left="280"/>
              <w:spacing w:after="0"/>
              <w:rPr>
                <w:sz w:val="20"/>
                <w:szCs w:val="20"/>
                <w:color w:val="auto"/>
              </w:rPr>
            </w:pPr>
            <w:r>
              <w:rPr>
                <w:rFonts w:ascii="Arial" w:cs="Arial" w:eastAsia="Arial" w:hAnsi="Arial"/>
                <w:sz w:val="18"/>
                <w:szCs w:val="18"/>
                <w:color w:val="auto"/>
              </w:rPr>
              <w:t>https://dpregister.com/sreg/10173953/f56283c8a6</w:t>
            </w:r>
          </w:p>
        </w:tc>
      </w:tr>
      <w:tr>
        <w:trPr>
          <w:trHeight w:val="226"/>
        </w:trPr>
        <w:tc>
          <w:tcPr>
            <w:tcW w:w="26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OR</w:t>
            </w:r>
          </w:p>
        </w:tc>
        <w:tc>
          <w:tcPr>
            <w:tcW w:w="8560" w:type="dxa"/>
            <w:vAlign w:val="bottom"/>
          </w:tcPr>
          <w:p>
            <w:pPr>
              <w:spacing w:after="0"/>
              <w:rPr>
                <w:sz w:val="19"/>
                <w:szCs w:val="19"/>
                <w:color w:val="auto"/>
              </w:rPr>
            </w:pPr>
          </w:p>
        </w:tc>
      </w:tr>
      <w:tr>
        <w:trPr>
          <w:trHeight w:val="233"/>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CALL-IN NUMBER:</w:t>
            </w:r>
          </w:p>
        </w:tc>
        <w:tc>
          <w:tcPr>
            <w:tcW w:w="8560" w:type="dxa"/>
            <w:vAlign w:val="bottom"/>
          </w:tcPr>
          <w:p>
            <w:pPr>
              <w:ind w:left="280"/>
              <w:spacing w:after="0"/>
              <w:rPr>
                <w:sz w:val="20"/>
                <w:szCs w:val="20"/>
                <w:color w:val="auto"/>
              </w:rPr>
            </w:pPr>
            <w:r>
              <w:rPr>
                <w:rFonts w:ascii="Arial" w:cs="Arial" w:eastAsia="Arial" w:hAnsi="Arial"/>
                <w:sz w:val="18"/>
                <w:szCs w:val="18"/>
                <w:color w:val="auto"/>
              </w:rPr>
              <w:t>(866) 777-2509 (U.S.); (866) 605-3852 (Canada) or (412) 317-5413 (International)</w:t>
            </w:r>
          </w:p>
        </w:tc>
      </w:tr>
      <w:tr>
        <w:trPr>
          <w:trHeight w:val="230"/>
        </w:trPr>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Dial in by 8:45am Eastern Time</w:t>
            </w:r>
          </w:p>
        </w:tc>
      </w:tr>
      <w:tr>
        <w:trPr>
          <w:trHeight w:val="459"/>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WEBCAST INFO:</w:t>
            </w:r>
          </w:p>
        </w:tc>
        <w:tc>
          <w:tcPr>
            <w:tcW w:w="8560" w:type="dxa"/>
            <w:vAlign w:val="bottom"/>
          </w:tcPr>
          <w:p>
            <w:pPr>
              <w:ind w:left="280"/>
              <w:spacing w:after="0"/>
              <w:rPr>
                <w:sz w:val="20"/>
                <w:szCs w:val="20"/>
                <w:color w:val="auto"/>
              </w:rPr>
            </w:pPr>
            <w:r>
              <w:rPr>
                <w:rFonts w:ascii="Arial" w:cs="Arial" w:eastAsia="Arial" w:hAnsi="Arial"/>
                <w:sz w:val="18"/>
                <w:szCs w:val="18"/>
                <w:color w:val="auto"/>
              </w:rPr>
              <w:t>www.packagingcorp.com</w:t>
            </w:r>
          </w:p>
        </w:tc>
      </w:tr>
      <w:tr>
        <w:trPr>
          <w:trHeight w:val="459"/>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REBROADCAST DATES:</w:t>
            </w:r>
          </w:p>
        </w:tc>
        <w:tc>
          <w:tcPr>
            <w:tcW w:w="8560" w:type="dxa"/>
            <w:vAlign w:val="bottom"/>
          </w:tcPr>
          <w:p>
            <w:pPr>
              <w:ind w:left="280"/>
              <w:spacing w:after="0"/>
              <w:rPr>
                <w:sz w:val="20"/>
                <w:szCs w:val="20"/>
                <w:color w:val="auto"/>
              </w:rPr>
            </w:pPr>
            <w:r>
              <w:rPr>
                <w:rFonts w:ascii="Arial" w:cs="Arial" w:eastAsia="Arial" w:hAnsi="Arial"/>
                <w:sz w:val="18"/>
                <w:szCs w:val="18"/>
                <w:color w:val="auto"/>
              </w:rPr>
              <w:t>October 24, 2023 through November 7, 2023</w:t>
            </w:r>
          </w:p>
        </w:tc>
      </w:tr>
      <w:tr>
        <w:trPr>
          <w:trHeight w:val="458"/>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REBROADCAST NUMBERS:</w:t>
            </w:r>
          </w:p>
        </w:tc>
        <w:tc>
          <w:tcPr>
            <w:tcW w:w="8560" w:type="dxa"/>
            <w:vAlign w:val="bottom"/>
          </w:tcPr>
          <w:p>
            <w:pPr>
              <w:ind w:left="280"/>
              <w:spacing w:after="0"/>
              <w:rPr>
                <w:sz w:val="20"/>
                <w:szCs w:val="20"/>
                <w:color w:val="auto"/>
              </w:rPr>
            </w:pPr>
            <w:r>
              <w:rPr>
                <w:rFonts w:ascii="Arial" w:cs="Arial" w:eastAsia="Arial" w:hAnsi="Arial"/>
                <w:sz w:val="18"/>
                <w:szCs w:val="18"/>
                <w:color w:val="auto"/>
              </w:rPr>
              <w:t>(877) 344-7529 (U.S.); (855) 669-9658 (Canada) or (412) 317-0088 (International)</w:t>
            </w:r>
          </w:p>
        </w:tc>
      </w:tr>
      <w:tr>
        <w:trPr>
          <w:trHeight w:val="230"/>
        </w:trPr>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Passcode: 2565561</w:t>
            </w:r>
          </w:p>
        </w:tc>
      </w:tr>
      <w:tr>
        <w:trPr>
          <w:trHeight w:val="560"/>
        </w:trPr>
        <w:tc>
          <w:tcPr>
            <w:tcW w:w="2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Earnings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23"/>
        </w:trPr>
        <w:tc>
          <w:tcPr>
            <w:tcW w:w="4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9"/>
                <w:szCs w:val="19"/>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6,499.6</w:t>
            </w:r>
          </w:p>
        </w:tc>
        <w:tc>
          <w:tcPr>
            <w:tcW w:w="340" w:type="dxa"/>
            <w:vAlign w:val="bottom"/>
            <w:shd w:val="clear" w:color="auto" w:fill="CFF0FC"/>
          </w:tcPr>
          <w:p>
            <w:pPr>
              <w:spacing w:after="0"/>
              <w:rPr>
                <w:sz w:val="20"/>
                <w:szCs w:val="20"/>
                <w:color w:val="auto"/>
              </w:rPr>
            </w:pPr>
          </w:p>
        </w:tc>
      </w:tr>
      <w:tr>
        <w:trPr>
          <w:trHeight w:val="240"/>
        </w:trPr>
        <w:tc>
          <w:tcPr>
            <w:tcW w:w="47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(1,523.3 )</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4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(1,607.5 )</w:t>
            </w: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(4,575.7 )</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4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(4,859.3 ) </w:t>
            </w:r>
            <w:r>
              <w:rPr>
                <w:rFonts w:ascii="Arial" w:cs="Arial" w:eastAsia="Arial" w:hAnsi="Arial"/>
                <w:sz w:val="12"/>
                <w:szCs w:val="12"/>
                <w:color w:val="auto"/>
              </w:rPr>
              <w:t>(2)</w:t>
            </w:r>
          </w:p>
        </w:tc>
      </w:tr>
      <w:tr>
        <w:trPr>
          <w:trHeight w:val="239"/>
        </w:trPr>
        <w:tc>
          <w:tcPr>
            <w:tcW w:w="4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1,640.3</w:t>
            </w:r>
          </w:p>
        </w:tc>
        <w:tc>
          <w:tcPr>
            <w:tcW w:w="340" w:type="dxa"/>
            <w:vAlign w:val="bottom"/>
            <w:shd w:val="clear" w:color="auto" w:fill="CFF0FC"/>
          </w:tcPr>
          <w:p>
            <w:pPr>
              <w:spacing w:after="0"/>
              <w:rPr>
                <w:sz w:val="20"/>
                <w:szCs w:val="20"/>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(144.2 )</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(145.2 )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(438.1 )</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4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(462.9 )</w:t>
            </w:r>
          </w:p>
        </w:tc>
      </w:tr>
      <w:tr>
        <w:trPr>
          <w:trHeight w:val="246"/>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 net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(9.9 )</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4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(12.9 )</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(37.1 )</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4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 xml:space="preserve">(44.7 ) </w:t>
            </w:r>
            <w:r>
              <w:rPr>
                <w:rFonts w:ascii="Arial" w:cs="Arial" w:eastAsia="Arial" w:hAnsi="Arial"/>
                <w:sz w:val="12"/>
                <w:szCs w:val="12"/>
                <w:color w:val="auto"/>
              </w:rPr>
              <w:t>(2)</w:t>
            </w:r>
          </w:p>
        </w:tc>
      </w:tr>
      <w:tr>
        <w:trPr>
          <w:trHeight w:val="233"/>
        </w:trPr>
        <w:tc>
          <w:tcPr>
            <w:tcW w:w="474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1,132.7</w:t>
            </w:r>
          </w:p>
        </w:tc>
        <w:tc>
          <w:tcPr>
            <w:tcW w:w="340" w:type="dxa"/>
            <w:vAlign w:val="bottom"/>
            <w:tcBorders>
              <w:top w:val="single" w:sz="8" w:color="CFF0FC"/>
            </w:tcBorders>
          </w:tcPr>
          <w:p>
            <w:pPr>
              <w:spacing w:after="0"/>
              <w:rPr>
                <w:sz w:val="20"/>
                <w:szCs w:val="20"/>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Non-operating pension (expense) income</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(1.8 )</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(5.8 )</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FF0FC"/>
          </w:tcPr>
          <w:p>
            <w:pPr>
              <w:spacing w:after="0"/>
              <w:rPr>
                <w:sz w:val="21"/>
                <w:szCs w:val="21"/>
                <w:color w:val="auto"/>
              </w:rPr>
            </w:pPr>
          </w:p>
        </w:tc>
      </w:tr>
      <w:tr>
        <w:trPr>
          <w:trHeight w:val="240"/>
        </w:trPr>
        <w:tc>
          <w:tcPr>
            <w:tcW w:w="47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(12.3 )</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(42.2 )</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(55.3 )</w:t>
            </w:r>
          </w:p>
        </w:tc>
      </w:tr>
      <w:tr>
        <w:trPr>
          <w:trHeight w:val="239"/>
        </w:trPr>
        <w:tc>
          <w:tcPr>
            <w:tcW w:w="4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before taxes</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1,088.3</w:t>
            </w:r>
          </w:p>
        </w:tc>
        <w:tc>
          <w:tcPr>
            <w:tcW w:w="340" w:type="dxa"/>
            <w:vAlign w:val="bottom"/>
            <w:shd w:val="clear" w:color="auto" w:fill="CFF0FC"/>
          </w:tcPr>
          <w:p>
            <w:pPr>
              <w:spacing w:after="0"/>
              <w:rPr>
                <w:sz w:val="20"/>
                <w:szCs w:val="20"/>
                <w:color w:val="auto"/>
              </w:rPr>
            </w:pPr>
          </w:p>
        </w:tc>
      </w:tr>
      <w:tr>
        <w:trPr>
          <w:trHeight w:val="240"/>
        </w:trPr>
        <w:tc>
          <w:tcPr>
            <w:tcW w:w="47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(61.3 )</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(84.9 )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(189.6 )</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(270.1 )</w:t>
            </w:r>
          </w:p>
        </w:tc>
      </w:tr>
      <w:tr>
        <w:trPr>
          <w:trHeight w:val="279"/>
        </w:trPr>
        <w:tc>
          <w:tcPr>
            <w:tcW w:w="4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818.2</w:t>
            </w:r>
          </w:p>
        </w:tc>
        <w:tc>
          <w:tcPr>
            <w:tcW w:w="340" w:type="dxa"/>
            <w:vAlign w:val="bottom"/>
            <w:tcBorders>
              <w:bottom w:val="single" w:sz="8" w:color="CFF0FC"/>
            </w:tcBorders>
            <w:shd w:val="clear" w:color="auto" w:fill="CFF0FC"/>
          </w:tcPr>
          <w:p>
            <w:pPr>
              <w:spacing w:after="0"/>
              <w:rPr>
                <w:sz w:val="24"/>
                <w:szCs w:val="24"/>
                <w:color w:val="auto"/>
              </w:rPr>
            </w:pPr>
          </w:p>
        </w:tc>
      </w:tr>
      <w:tr>
        <w:trPr>
          <w:trHeight w:val="224"/>
        </w:trPr>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r>
      <w:tr>
        <w:trPr>
          <w:trHeight w:val="243"/>
        </w:trPr>
        <w:tc>
          <w:tcPr>
            <w:tcW w:w="4740" w:type="dxa"/>
            <w:vAlign w:val="bottom"/>
          </w:tcPr>
          <w:p>
            <w:pPr>
              <w:ind w:left="20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34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4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-1645285</wp:posOffset>
            </wp:positionV>
            <wp:extent cx="7747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-1645285</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-1645285</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-1645285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-694055</wp:posOffset>
            </wp:positionV>
            <wp:extent cx="316357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63570" cy="18034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-25400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-25400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Computation of diluted earnings per share under the two class method: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183.2</w:t>
            </w:r>
          </w:p>
        </w:tc>
        <w:tc>
          <w:tcPr>
            <w:tcW w:w="3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262.5</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576.0</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818.2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Less: Distributed and undistributed income available to participating</w:t>
            </w:r>
          </w:p>
        </w:tc>
        <w:tc>
          <w:tcPr>
            <w:tcW w:w="48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(1.4 )</w:t>
            </w:r>
          </w:p>
        </w:tc>
        <w:tc>
          <w:tcPr>
            <w:tcW w:w="48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(1.9 )</w:t>
            </w:r>
          </w:p>
        </w:tc>
        <w:tc>
          <w:tcPr>
            <w:tcW w:w="48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(4.8 )</w:t>
            </w:r>
          </w:p>
        </w:tc>
        <w:tc>
          <w:tcPr>
            <w:tcW w:w="48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securities</w:t>
            </w:r>
          </w:p>
        </w:tc>
        <w:tc>
          <w:tcPr>
            <w:tcW w:w="48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7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income attributable to PCA shareholders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38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36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36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811.8</w:t>
            </w:r>
          </w:p>
        </w:tc>
        <w:tc>
          <w:tcPr>
            <w:tcW w:w="3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4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3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3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3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3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financial information:</w:t>
            </w:r>
          </w:p>
        </w:tc>
        <w:tc>
          <w:tcPr>
            <w:tcW w:w="4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6"/>
                <w:szCs w:val="16"/>
                <w:color w:val="auto"/>
              </w:rPr>
              <w:t>Capital spending</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89.8</w:t>
            </w:r>
          </w:p>
        </w:tc>
        <w:tc>
          <w:tcPr>
            <w:tcW w:w="3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179.7</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328.6</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577.1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cash equivalents, and marketable debt securities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3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w:t>
            </w: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-1156970</wp:posOffset>
            </wp:positionV>
            <wp:extent cx="7747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-1156970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-1156970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-1156970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-814070</wp:posOffset>
            </wp:positionV>
            <wp:extent cx="316357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63570" cy="205740"/>
                    </a:xfrm>
                    <a:prstGeom prst="rect">
                      <a:avLst/>
                    </a:prstGeom>
                    <a:noFill/>
                  </pic:spPr>
                </pic:pic>
              </a:graphicData>
            </a:graphic>
          </wp:anchor>
        </w:drawing>
      </w:r>
    </w:p>
    <w:p>
      <w:pPr>
        <w:spacing w:after="0" w:line="321" w:lineRule="exact"/>
        <w:rPr>
          <w:sz w:val="20"/>
          <w:szCs w:val="20"/>
          <w:color w:val="auto"/>
        </w:rPr>
      </w:pPr>
    </w:p>
    <w:p>
      <w:pPr>
        <w:ind w:left="620" w:hanging="519"/>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three and nine months ended September 30, 2023 include the following:</w:t>
      </w:r>
    </w:p>
    <w:p>
      <w:pPr>
        <w:spacing w:after="0" w:line="221" w:lineRule="exact"/>
        <w:rPr>
          <w:rFonts w:ascii="Arial" w:cs="Arial" w:eastAsia="Arial" w:hAnsi="Arial"/>
          <w:sz w:val="16"/>
          <w:szCs w:val="16"/>
          <w:color w:val="auto"/>
        </w:rPr>
      </w:pPr>
    </w:p>
    <w:p>
      <w:pPr>
        <w:jc w:val="both"/>
        <w:ind w:left="1180" w:hanging="514"/>
        <w:spacing w:after="0" w:line="305" w:lineRule="auto"/>
        <w:tabs>
          <w:tab w:leader="none" w:pos="1180" w:val="left"/>
        </w:tabs>
        <w:numPr>
          <w:ilvl w:val="1"/>
          <w:numId w:val="3"/>
        </w:numPr>
        <w:rPr>
          <w:rFonts w:ascii="Arial" w:cs="Arial" w:eastAsia="Arial" w:hAnsi="Arial"/>
          <w:sz w:val="15"/>
          <w:szCs w:val="15"/>
          <w:color w:val="auto"/>
        </w:rPr>
      </w:pPr>
      <w:r>
        <w:rPr>
          <w:rFonts w:ascii="Arial" w:cs="Arial" w:eastAsia="Arial" w:hAnsi="Arial"/>
          <w:sz w:val="15"/>
          <w:szCs w:val="15"/>
          <w:color w:val="auto"/>
        </w:rPr>
        <w:t>$2.6 million and $8.2 million, respectively,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spacing w:after="0" w:line="152" w:lineRule="exact"/>
        <w:rPr>
          <w:rFonts w:ascii="Arial" w:cs="Arial" w:eastAsia="Arial" w:hAnsi="Arial"/>
          <w:sz w:val="15"/>
          <w:szCs w:val="15"/>
          <w:color w:val="auto"/>
        </w:rPr>
      </w:pPr>
    </w:p>
    <w:p>
      <w:pPr>
        <w:jc w:val="both"/>
        <w:ind w:left="1180" w:hanging="514"/>
        <w:spacing w:after="0" w:line="278" w:lineRule="auto"/>
        <w:tabs>
          <w:tab w:leader="none" w:pos="1180" w:val="left"/>
        </w:tabs>
        <w:numPr>
          <w:ilvl w:val="1"/>
          <w:numId w:val="3"/>
        </w:numPr>
        <w:rPr>
          <w:rFonts w:ascii="Arial" w:cs="Arial" w:eastAsia="Arial" w:hAnsi="Arial"/>
          <w:sz w:val="16"/>
          <w:szCs w:val="16"/>
          <w:color w:val="auto"/>
        </w:rPr>
      </w:pPr>
      <w:r>
        <w:rPr>
          <w:rFonts w:ascii="Arial" w:cs="Arial" w:eastAsia="Arial" w:hAnsi="Arial"/>
          <w:sz w:val="16"/>
          <w:szCs w:val="16"/>
          <w:color w:val="auto"/>
        </w:rPr>
        <w:t>$0.1 million of income and $13.5 million of charges, respectively, related to the closure of corrugated products facilities and design centers. Included therein are closure costs as well as the gain on sale of a corrugated products facility. These items were recorded in "Cost of sales", "Selling, general, and administrative expenses", and "Other expense, net", as appropriate.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520" w:hanging="519"/>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three and nine months ended September 30, 2022 include the following:</w:t>
      </w:r>
    </w:p>
    <w:p>
      <w:pPr>
        <w:spacing w:after="0" w:line="221" w:lineRule="exact"/>
        <w:rPr>
          <w:rFonts w:ascii="Arial" w:cs="Arial" w:eastAsia="Arial" w:hAnsi="Arial"/>
          <w:sz w:val="16"/>
          <w:szCs w:val="16"/>
          <w:color w:val="auto"/>
        </w:rPr>
      </w:pPr>
    </w:p>
    <w:p>
      <w:pPr>
        <w:jc w:val="both"/>
        <w:ind w:left="1040" w:hanging="477"/>
        <w:spacing w:after="0" w:line="305" w:lineRule="auto"/>
        <w:tabs>
          <w:tab w:leader="none" w:pos="1040" w:val="left"/>
        </w:tabs>
        <w:numPr>
          <w:ilvl w:val="1"/>
          <w:numId w:val="4"/>
        </w:numPr>
        <w:rPr>
          <w:rFonts w:ascii="Arial" w:cs="Arial" w:eastAsia="Arial" w:hAnsi="Arial"/>
          <w:sz w:val="15"/>
          <w:szCs w:val="15"/>
          <w:color w:val="auto"/>
        </w:rPr>
      </w:pPr>
      <w:r>
        <w:rPr>
          <w:rFonts w:ascii="Arial" w:cs="Arial" w:eastAsia="Arial" w:hAnsi="Arial"/>
          <w:sz w:val="15"/>
          <w:szCs w:val="15"/>
          <w:color w:val="auto"/>
        </w:rPr>
        <w:t>$3.9 million and $9.4 million, respectively,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spacing w:after="0" w:line="152" w:lineRule="exact"/>
        <w:rPr>
          <w:rFonts w:ascii="Arial" w:cs="Arial" w:eastAsia="Arial" w:hAnsi="Arial"/>
          <w:sz w:val="15"/>
          <w:szCs w:val="15"/>
          <w:color w:val="auto"/>
        </w:rPr>
      </w:pPr>
    </w:p>
    <w:p>
      <w:pPr>
        <w:jc w:val="both"/>
        <w:ind w:left="1040" w:hanging="477"/>
        <w:spacing w:after="0" w:line="271" w:lineRule="auto"/>
        <w:tabs>
          <w:tab w:leader="none" w:pos="1040" w:val="left"/>
        </w:tabs>
        <w:numPr>
          <w:ilvl w:val="1"/>
          <w:numId w:val="4"/>
        </w:numPr>
        <w:rPr>
          <w:rFonts w:ascii="Arial" w:cs="Arial" w:eastAsia="Arial" w:hAnsi="Arial"/>
          <w:sz w:val="16"/>
          <w:szCs w:val="16"/>
          <w:color w:val="auto"/>
        </w:rPr>
      </w:pPr>
      <w:r>
        <w:rPr>
          <w:rFonts w:ascii="Arial" w:cs="Arial" w:eastAsia="Arial" w:hAnsi="Arial"/>
          <w:sz w:val="16"/>
          <w:szCs w:val="16"/>
          <w:color w:val="auto"/>
        </w:rPr>
        <w:t>$0.2 million of charges and $0.2 million of income, respectively, consisting of closure costs related to corrugated products facilities and acquisition and integration costs related to the December 2021 Advance Packaging Corporation acquisition, partially offset by a gain on sale of assets related to a corrugated products facility. For the nine months ended September 30, 2022, these costs were offset by insurance proceeds received for a natural disaster at one of the corrugated products facilities and a favorable lease buyout for a closed corrugated products facility. These items were recorded in "Cost of sales" and "Other expense, net", as appropriate.</w:t>
      </w: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4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7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9"/>
                <w:szCs w:val="19"/>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Segment sales</w:t>
            </w:r>
          </w:p>
        </w:tc>
        <w:tc>
          <w:tcPr>
            <w:tcW w:w="8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Packaging</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1,759.8</w:t>
            </w:r>
          </w:p>
        </w:tc>
        <w:tc>
          <w:tcPr>
            <w:tcW w:w="120" w:type="dxa"/>
            <w:vAlign w:val="bottom"/>
          </w:tcPr>
          <w:p>
            <w:pPr>
              <w:spacing w:after="0"/>
              <w:rPr>
                <w:sz w:val="20"/>
                <w:szCs w:val="20"/>
                <w:color w:val="auto"/>
              </w:rPr>
            </w:pP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1,940.2</w:t>
            </w:r>
          </w:p>
        </w:tc>
        <w:tc>
          <w:tcPr>
            <w:tcW w:w="12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5,358.7</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5,971.6</w:t>
            </w: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Paper</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451.6</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FF0FC"/>
          </w:tcPr>
          <w:p>
            <w:pPr>
              <w:spacing w:after="0"/>
              <w:rPr>
                <w:sz w:val="21"/>
                <w:szCs w:val="21"/>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r>
      <w:tr>
        <w:trPr>
          <w:trHeight w:val="275"/>
        </w:trPr>
        <w:tc>
          <w:tcPr>
            <w:tcW w:w="470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1,936.0</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2,125.9</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5,864.5</w:t>
            </w:r>
          </w:p>
        </w:tc>
        <w:tc>
          <w:tcPr>
            <w:tcW w:w="2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6,499.6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4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Segment income (loss)</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Packaging</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0"/>
                <w:szCs w:val="20"/>
                <w:color w:val="auto"/>
              </w:rPr>
            </w:pP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810.5</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Paper</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FF0FC"/>
          </w:tcPr>
          <w:p>
            <w:pPr>
              <w:spacing w:after="0"/>
              <w:rPr>
                <w:sz w:val="21"/>
                <w:szCs w:val="21"/>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8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(25.8 )</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(25.0 )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(87.7 )</w:t>
            </w:r>
          </w:p>
        </w:tc>
        <w:tc>
          <w:tcPr>
            <w:tcW w:w="5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(79.8 )</w:t>
            </w:r>
          </w:p>
        </w:tc>
      </w:tr>
      <w:tr>
        <w:trPr>
          <w:trHeight w:val="236"/>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from operations</w:t>
            </w: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258.6</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360.3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813.6</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Non-operating pension (expense) income</w:t>
            </w:r>
          </w:p>
        </w:tc>
        <w:tc>
          <w:tcPr>
            <w:tcW w:w="8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(5.8 )</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r>
      <w:tr>
        <w:trPr>
          <w:trHeight w:val="246"/>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8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(12.3 )</w:t>
            </w: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(42.2 )</w:t>
            </w:r>
          </w:p>
        </w:tc>
        <w:tc>
          <w:tcPr>
            <w:tcW w:w="5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(55.3 )</w:t>
            </w:r>
          </w:p>
        </w:tc>
      </w:tr>
      <w:tr>
        <w:trPr>
          <w:trHeight w:val="239"/>
        </w:trPr>
        <w:tc>
          <w:tcPr>
            <w:tcW w:w="47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Income before taxes</w:t>
            </w:r>
          </w:p>
        </w:tc>
        <w:tc>
          <w:tcPr>
            <w:tcW w:w="8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244.5</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347.4</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765.6</w:t>
            </w:r>
          </w:p>
        </w:tc>
        <w:tc>
          <w:tcPr>
            <w:tcW w:w="28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1,088.3</w:t>
            </w:r>
          </w:p>
        </w:tc>
        <w:tc>
          <w:tcPr>
            <w:tcW w:w="100" w:type="dxa"/>
            <w:vAlign w:val="bottom"/>
            <w:tcBorders>
              <w:top w:val="single" w:sz="8" w:color="CFF0FC"/>
            </w:tcBorders>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 xml:space="preserve">Segment income (loss) excluding special items </w:t>
            </w:r>
            <w:r>
              <w:rPr>
                <w:rFonts w:ascii="Arial" w:cs="Arial" w:eastAsia="Arial" w:hAnsi="Arial"/>
                <w:sz w:val="21"/>
                <w:szCs w:val="21"/>
                <w:b w:val="1"/>
                <w:bCs w:val="1"/>
                <w:color w:val="auto"/>
                <w:vertAlign w:val="superscript"/>
              </w:rPr>
              <w:t>(1)</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Packaging</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256.7</w:t>
            </w:r>
          </w:p>
        </w:tc>
        <w:tc>
          <w:tcPr>
            <w:tcW w:w="120" w:type="dxa"/>
            <w:vAlign w:val="bottom"/>
          </w:tcPr>
          <w:p>
            <w:pPr>
              <w:spacing w:after="0"/>
              <w:rPr>
                <w:sz w:val="20"/>
                <w:szCs w:val="20"/>
                <w:color w:val="auto"/>
              </w:rPr>
            </w:pP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823.7</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Paper</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FF0FC"/>
          </w:tcPr>
          <w:p>
            <w:pPr>
              <w:spacing w:after="0"/>
              <w:rPr>
                <w:sz w:val="21"/>
                <w:szCs w:val="21"/>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8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(25.8 )</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(25.0 )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(87.7 )</w:t>
            </w:r>
          </w:p>
        </w:tc>
        <w:tc>
          <w:tcPr>
            <w:tcW w:w="5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(79.8 )</w:t>
            </w:r>
          </w:p>
        </w:tc>
      </w:tr>
      <w:tr>
        <w:trPr>
          <w:trHeight w:val="275"/>
        </w:trPr>
        <w:tc>
          <w:tcPr>
            <w:tcW w:w="470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top w:val="single" w:sz="8" w:color="auto"/>
              <w:bottom w:val="single" w:sz="8" w:color="auto"/>
            </w:tcBorders>
            <w:shd w:val="clear" w:color="auto" w:fill="CFF0FC"/>
          </w:tcPr>
          <w:p>
            <w:pPr>
              <w:jc w:val="right"/>
              <w:ind w:right="672"/>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261.1</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364.4</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835.3</w:t>
            </w:r>
          </w:p>
        </w:tc>
        <w:tc>
          <w:tcPr>
            <w:tcW w:w="2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1,141.9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4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 xml:space="preserve">EBITDA excluding special items </w:t>
            </w:r>
            <w:r>
              <w:rPr>
                <w:rFonts w:ascii="Arial" w:cs="Arial" w:eastAsia="Arial" w:hAnsi="Arial"/>
                <w:sz w:val="21"/>
                <w:szCs w:val="21"/>
                <w:b w:val="1"/>
                <w:bCs w:val="1"/>
                <w:color w:val="auto"/>
                <w:vertAlign w:val="superscript"/>
              </w:rPr>
              <w:t>(1)</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Packaging</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20"/>
                <w:szCs w:val="20"/>
                <w:color w:val="auto"/>
              </w:rPr>
            </w:pP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1,171.0</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1,456.3</w:t>
            </w:r>
          </w:p>
        </w:tc>
        <w:tc>
          <w:tcPr>
            <w:tcW w:w="100" w:type="dxa"/>
            <w:vAlign w:val="bottom"/>
          </w:tcPr>
          <w:p>
            <w:pPr>
              <w:spacing w:after="0"/>
              <w:rPr>
                <w:sz w:val="20"/>
                <w:szCs w:val="20"/>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Paper</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21"/>
                <w:szCs w:val="21"/>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8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(21.8 )</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(22.6 )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(76.1 )</w:t>
            </w:r>
          </w:p>
        </w:tc>
        <w:tc>
          <w:tcPr>
            <w:tcW w:w="5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(72.5 )</w:t>
            </w:r>
          </w:p>
        </w:tc>
      </w:tr>
      <w:tr>
        <w:trPr>
          <w:trHeight w:val="275"/>
        </w:trPr>
        <w:tc>
          <w:tcPr>
            <w:tcW w:w="470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top w:val="single" w:sz="8" w:color="auto"/>
              <w:bottom w:val="single" w:sz="8" w:color="auto"/>
            </w:tcBorders>
            <w:shd w:val="clear" w:color="auto" w:fill="CFF0FC"/>
          </w:tcPr>
          <w:p>
            <w:pPr>
              <w:jc w:val="right"/>
              <w:ind w:right="672"/>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387.8</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477.1</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1,210.2</w:t>
            </w:r>
          </w:p>
        </w:tc>
        <w:tc>
          <w:tcPr>
            <w:tcW w:w="2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1,476.8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-3385185</wp:posOffset>
            </wp:positionV>
            <wp:extent cx="325755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7550" cy="1797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-2425065</wp:posOffset>
            </wp:positionV>
            <wp:extent cx="685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-2425065</wp:posOffset>
            </wp:positionV>
            <wp:extent cx="685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-2425065</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-2108200</wp:posOffset>
            </wp:positionV>
            <wp:extent cx="68580"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-2108200</wp:posOffset>
            </wp:positionV>
            <wp:extent cx="68580" cy="342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-2108200</wp:posOffset>
            </wp:positionV>
            <wp:extent cx="68580" cy="342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342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-985520</wp:posOffset>
            </wp:positionV>
            <wp:extent cx="325755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7550" cy="18034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w:t>
      </w:r>
    </w:p>
    <w:p>
      <w:pPr>
        <w:spacing w:after="0" w:line="103" w:lineRule="exact"/>
        <w:rPr>
          <w:sz w:val="20"/>
          <w:szCs w:val="20"/>
          <w:color w:val="auto"/>
        </w:rPr>
      </w:pPr>
    </w:p>
    <w:p>
      <w:pPr>
        <w:jc w:val="both"/>
        <w:ind w:left="520" w:hanging="512"/>
        <w:spacing w:after="0" w:line="267"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Segment income (loss) excluding special items, earnings before non-operating pension (expense) income, interest, income taxes, and depreciation, amortization, and depletion (EBITDA), and EBITDA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The tables included in "Reconciliation of Non-GAAP Financial Measures" on the following pages reconcile the non-GAAP measures with the most directly comparable GAAP measures. Any analysis of non-GAAP financial measures should be done only in conjunction with results presented in accordance with GAAP. The non-GAAP measures are not intended to be substitutes for GAAP financial measures and should not be used as such.</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9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Packaging</w:t>
            </w:r>
          </w:p>
        </w:tc>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color w:val="auto"/>
              </w:rPr>
              <w:t>Segment income</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9"/>
                <w:szCs w:val="19"/>
                <w:color w:val="auto"/>
              </w:rPr>
            </w:pPr>
          </w:p>
        </w:tc>
        <w:tc>
          <w:tcPr>
            <w:tcW w:w="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1,141.3</w:t>
            </w: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Facilities closure and other costs (income)</w:t>
            </w:r>
          </w:p>
        </w:tc>
        <w:tc>
          <w:tcPr>
            <w:tcW w:w="8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(0.2 )</w:t>
            </w:r>
          </w:p>
        </w:tc>
      </w:tr>
      <w:tr>
        <w:trPr>
          <w:trHeight w:val="223"/>
        </w:trPr>
        <w:tc>
          <w:tcPr>
            <w:tcW w:w="4940" w:type="dxa"/>
            <w:vAlign w:val="bottom"/>
          </w:tcPr>
          <w:p>
            <w:pPr>
              <w:ind w:left="200"/>
              <w:spacing w:after="0"/>
              <w:rPr>
                <w:sz w:val="20"/>
                <w:szCs w:val="20"/>
                <w:color w:val="auto"/>
              </w:rPr>
            </w:pPr>
            <w:r>
              <w:rPr>
                <w:rFonts w:ascii="Arial" w:cs="Arial" w:eastAsia="Arial" w:hAnsi="Arial"/>
                <w:sz w:val="16"/>
                <w:szCs w:val="16"/>
                <w:color w:val="auto"/>
              </w:rPr>
              <w:t>Jackson mill conversion-related activities</w:t>
            </w:r>
          </w:p>
        </w:tc>
        <w:tc>
          <w:tcPr>
            <w:tcW w:w="840" w:type="dxa"/>
            <w:vAlign w:val="bottom"/>
          </w:tcPr>
          <w:p>
            <w:pPr>
              <w:spacing w:after="0"/>
              <w:rPr>
                <w:sz w:val="19"/>
                <w:szCs w:val="19"/>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r>
      <w:tr>
        <w:trPr>
          <w:trHeight w:val="230"/>
        </w:trPr>
        <w:tc>
          <w:tcPr>
            <w:tcW w:w="4940" w:type="dxa"/>
            <w:vAlign w:val="bottom"/>
            <w:tcBorders>
              <w:top w:val="single" w:sz="8" w:color="CFF0FC"/>
              <w:bottom w:val="single" w:sz="8" w:color="CFF0FC"/>
            </w:tcBorders>
            <w:shd w:val="clear" w:color="auto" w:fill="CFF0FC"/>
          </w:tcPr>
          <w:p>
            <w:pPr>
              <w:ind w:left="20"/>
              <w:spacing w:after="0" w:line="230" w:lineRule="exact"/>
              <w:rPr>
                <w:sz w:val="20"/>
                <w:szCs w:val="20"/>
                <w:color w:val="auto"/>
              </w:rPr>
            </w:pPr>
            <w:r>
              <w:rPr>
                <w:rFonts w:ascii="Arial" w:cs="Arial" w:eastAsia="Arial" w:hAnsi="Arial"/>
                <w:sz w:val="16"/>
                <w:szCs w:val="16"/>
                <w:color w:val="auto"/>
              </w:rPr>
              <w:t xml:space="preserve">Segment income excluding special items </w:t>
            </w:r>
            <w:r>
              <w:rPr>
                <w:rFonts w:ascii="Arial" w:cs="Arial" w:eastAsia="Arial" w:hAnsi="Arial"/>
                <w:sz w:val="21"/>
                <w:szCs w:val="21"/>
                <w:color w:val="auto"/>
                <w:vertAlign w:val="superscript"/>
              </w:rPr>
              <w:t>(1)</w:t>
            </w:r>
          </w:p>
        </w:tc>
        <w:tc>
          <w:tcPr>
            <w:tcW w:w="840" w:type="dxa"/>
            <w:vAlign w:val="bottom"/>
            <w:tcBorders>
              <w:top w:val="single" w:sz="8" w:color="auto"/>
              <w:bottom w:val="single" w:sz="8" w:color="auto"/>
            </w:tcBorders>
            <w:shd w:val="clear" w:color="auto" w:fill="CFF0FC"/>
          </w:tcPr>
          <w:p>
            <w:pPr>
              <w:jc w:val="right"/>
              <w:ind w:right="660"/>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1,144.3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Paper</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color w:val="auto"/>
              </w:rPr>
              <w:t>Segment income</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9"/>
                <w:szCs w:val="19"/>
                <w:color w:val="auto"/>
              </w:rPr>
            </w:pPr>
          </w:p>
        </w:tc>
        <w:tc>
          <w:tcPr>
            <w:tcW w:w="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Jackson mill conversion-related activities</w:t>
            </w:r>
          </w:p>
        </w:tc>
        <w:tc>
          <w:tcPr>
            <w:tcW w:w="8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FF0FC"/>
          </w:tcPr>
          <w:p>
            <w:pPr>
              <w:spacing w:after="0"/>
              <w:rPr>
                <w:sz w:val="20"/>
                <w:szCs w:val="20"/>
                <w:color w:val="auto"/>
              </w:rPr>
            </w:pPr>
          </w:p>
        </w:tc>
      </w:tr>
      <w:tr>
        <w:trPr>
          <w:trHeight w:val="223"/>
        </w:trPr>
        <w:tc>
          <w:tcPr>
            <w:tcW w:w="4940" w:type="dxa"/>
            <w:vAlign w:val="bottom"/>
          </w:tcPr>
          <w:p>
            <w:pPr>
              <w:ind w:left="20"/>
              <w:spacing w:after="0" w:line="223" w:lineRule="exact"/>
              <w:rPr>
                <w:sz w:val="20"/>
                <w:szCs w:val="20"/>
                <w:color w:val="auto"/>
              </w:rPr>
            </w:pPr>
            <w:r>
              <w:rPr>
                <w:rFonts w:ascii="Arial" w:cs="Arial" w:eastAsia="Arial" w:hAnsi="Arial"/>
                <w:sz w:val="16"/>
                <w:szCs w:val="16"/>
                <w:color w:val="auto"/>
              </w:rPr>
              <w:t xml:space="preserve">Segment income excluding special items </w:t>
            </w:r>
            <w:r>
              <w:rPr>
                <w:rFonts w:ascii="Arial" w:cs="Arial" w:eastAsia="Arial" w:hAnsi="Arial"/>
                <w:sz w:val="21"/>
                <w:szCs w:val="21"/>
                <w:color w:val="auto"/>
                <w:vertAlign w:val="superscript"/>
              </w:rPr>
              <w:t>(1)</w:t>
            </w: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77.4</w:t>
            </w:r>
          </w:p>
        </w:tc>
        <w:tc>
          <w:tcPr>
            <w:tcW w:w="100" w:type="dxa"/>
            <w:vAlign w:val="bottom"/>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Corporate and Other</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6"/>
                <w:szCs w:val="16"/>
                <w:color w:val="auto"/>
              </w:rPr>
              <w:t>Segment loss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(25.8 )</w:t>
            </w:r>
          </w:p>
        </w:tc>
        <w:tc>
          <w:tcPr>
            <w:tcW w:w="16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(25.0 )</w:t>
            </w:r>
          </w:p>
        </w:tc>
        <w:tc>
          <w:tcPr>
            <w:tcW w:w="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(87.7 )</w:t>
            </w:r>
          </w:p>
        </w:tc>
        <w:tc>
          <w:tcPr>
            <w:tcW w:w="14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(79.8 )</w:t>
            </w:r>
          </w:p>
        </w:tc>
      </w:tr>
      <w:tr>
        <w:trPr>
          <w:trHeight w:val="229"/>
        </w:trPr>
        <w:tc>
          <w:tcPr>
            <w:tcW w:w="4940" w:type="dxa"/>
            <w:vAlign w:val="bottom"/>
            <w:tcBorders>
              <w:top w:val="single" w:sz="8" w:color="CFF0FC"/>
              <w:bottom w:val="single" w:sz="8" w:color="CFF0FC"/>
            </w:tcBorders>
            <w:shd w:val="clear" w:color="auto" w:fill="CFF0FC"/>
          </w:tcPr>
          <w:p>
            <w:pPr>
              <w:ind w:left="20"/>
              <w:spacing w:after="0" w:line="230" w:lineRule="exact"/>
              <w:rPr>
                <w:sz w:val="20"/>
                <w:szCs w:val="20"/>
                <w:color w:val="auto"/>
              </w:rPr>
            </w:pPr>
            <w:r>
              <w:rPr>
                <w:rFonts w:ascii="Arial" w:cs="Arial" w:eastAsia="Arial" w:hAnsi="Arial"/>
                <w:sz w:val="16"/>
                <w:szCs w:val="16"/>
                <w:color w:val="auto"/>
              </w:rPr>
              <w:t xml:space="preserve">Segment loss excluding special items </w:t>
            </w:r>
            <w:r>
              <w:rPr>
                <w:rFonts w:ascii="Arial" w:cs="Arial" w:eastAsia="Arial" w:hAnsi="Arial"/>
                <w:sz w:val="21"/>
                <w:szCs w:val="21"/>
                <w:color w:val="auto"/>
                <w:vertAlign w:val="superscript"/>
              </w:rPr>
              <w:t>(1)</w:t>
            </w:r>
          </w:p>
        </w:tc>
        <w:tc>
          <w:tcPr>
            <w:tcW w:w="840" w:type="dxa"/>
            <w:vAlign w:val="bottom"/>
            <w:tcBorders>
              <w:top w:val="single" w:sz="8" w:color="auto"/>
              <w:bottom w:val="single" w:sz="8" w:color="auto"/>
            </w:tcBorders>
            <w:shd w:val="clear" w:color="auto" w:fill="CFF0FC"/>
          </w:tcPr>
          <w:p>
            <w:pPr>
              <w:jc w:val="right"/>
              <w:ind w:right="660"/>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(87.7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(79.8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23"/>
        </w:trPr>
        <w:tc>
          <w:tcPr>
            <w:tcW w:w="4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840" w:type="dxa"/>
            <w:vAlign w:val="bottom"/>
            <w:tcBorders>
              <w:bottom w:val="single" w:sz="8" w:color="auto"/>
            </w:tcBorders>
            <w:shd w:val="clear" w:color="auto" w:fill="CFF0FC"/>
          </w:tcPr>
          <w:p>
            <w:pPr>
              <w:jc w:val="right"/>
              <w:ind w:right="660"/>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258.6</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360.3</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813.6</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1,132.7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4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4940" w:type="dxa"/>
            <w:vAlign w:val="bottom"/>
            <w:shd w:val="clear" w:color="auto" w:fill="CFF0FC"/>
          </w:tcPr>
          <w:p>
            <w:pPr>
              <w:ind w:left="20"/>
              <w:spacing w:after="0" w:line="230" w:lineRule="exact"/>
              <w:rPr>
                <w:sz w:val="20"/>
                <w:szCs w:val="20"/>
                <w:color w:val="auto"/>
              </w:rPr>
            </w:pPr>
            <w:r>
              <w:rPr>
                <w:rFonts w:ascii="Arial" w:cs="Arial" w:eastAsia="Arial" w:hAnsi="Arial"/>
                <w:sz w:val="16"/>
                <w:szCs w:val="16"/>
                <w:b w:val="1"/>
                <w:bCs w:val="1"/>
                <w:color w:val="auto"/>
              </w:rPr>
              <w:t xml:space="preserve">Income from operations, excluding special items </w:t>
            </w:r>
            <w:r>
              <w:rPr>
                <w:rFonts w:ascii="Arial" w:cs="Arial" w:eastAsia="Arial" w:hAnsi="Arial"/>
                <w:sz w:val="21"/>
                <w:szCs w:val="21"/>
                <w:b w:val="1"/>
                <w:bCs w:val="1"/>
                <w:color w:val="auto"/>
                <w:vertAlign w:val="superscript"/>
              </w:rPr>
              <w:t>(1)</w:t>
            </w:r>
          </w:p>
        </w:tc>
        <w:tc>
          <w:tcPr>
            <w:tcW w:w="840" w:type="dxa"/>
            <w:vAlign w:val="bottom"/>
            <w:shd w:val="clear" w:color="auto" w:fill="CFF0FC"/>
          </w:tcPr>
          <w:p>
            <w:pPr>
              <w:jc w:val="right"/>
              <w:ind w:right="660"/>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261.1</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364.4</w:t>
            </w:r>
          </w:p>
        </w:tc>
        <w:tc>
          <w:tcPr>
            <w:tcW w:w="100" w:type="dxa"/>
            <w:vAlign w:val="bottom"/>
            <w:shd w:val="clear" w:color="auto" w:fill="CFF0FC"/>
          </w:tcPr>
          <w:p>
            <w:pPr>
              <w:spacing w:after="0"/>
              <w:rPr>
                <w:sz w:val="23"/>
                <w:szCs w:val="23"/>
                <w:color w:val="auto"/>
              </w:rPr>
            </w:pPr>
          </w:p>
        </w:tc>
        <w:tc>
          <w:tcPr>
            <w:tcW w:w="46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835.3</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1,141.9</w:t>
            </w:r>
          </w:p>
        </w:tc>
        <w:tc>
          <w:tcPr>
            <w:tcW w:w="100" w:type="dxa"/>
            <w:vAlign w:val="bottom"/>
            <w:shd w:val="clear" w:color="auto" w:fill="CFF0FC"/>
          </w:tcPr>
          <w:p>
            <w:pPr>
              <w:spacing w:after="0"/>
              <w:rPr>
                <w:sz w:val="23"/>
                <w:szCs w:val="23"/>
                <w:color w:val="auto"/>
              </w:rPr>
            </w:pPr>
          </w:p>
        </w:tc>
      </w:tr>
      <w:tr>
        <w:trPr>
          <w:trHeight w:val="117"/>
        </w:trPr>
        <w:tc>
          <w:tcPr>
            <w:tcW w:w="4940" w:type="dxa"/>
            <w:vAlign w:val="bottom"/>
            <w:tcBorders>
              <w:top w:val="single" w:sz="8" w:color="CFF0FC"/>
            </w:tcBorders>
          </w:tcPr>
          <w:p>
            <w:pPr>
              <w:ind w:left="40"/>
              <w:spacing w:after="0" w:line="117" w:lineRule="exact"/>
              <w:rPr>
                <w:sz w:val="20"/>
                <w:szCs w:val="20"/>
                <w:color w:val="auto"/>
              </w:rPr>
            </w:pPr>
            <w:r>
              <w:rPr>
                <w:rFonts w:ascii="Arial" w:cs="Arial" w:eastAsia="Arial" w:hAnsi="Arial"/>
                <w:sz w:val="11"/>
                <w:szCs w:val="11"/>
                <w:color w:val="auto"/>
              </w:rPr>
              <w:t>____________</w:t>
            </w:r>
          </w:p>
        </w:tc>
        <w:tc>
          <w:tcPr>
            <w:tcW w:w="8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-2241550</wp:posOffset>
            </wp:positionV>
            <wp:extent cx="7145020" cy="3213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-1496060</wp:posOffset>
            </wp:positionV>
            <wp:extent cx="4015740" cy="3213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15740" cy="3213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-895985</wp:posOffset>
            </wp:positionV>
            <wp:extent cx="7145020" cy="3213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-428625</wp:posOffset>
            </wp:positionV>
            <wp:extent cx="314579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45790" cy="17145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-111760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-94615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-111760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-94615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-111760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-94615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-111760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-94615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footnote (1) on page 3,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Packaging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Non-GAAP Financial Measures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millions)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 xml:space="preserve">Net Income and EPS Excluding Special Items </w:t>
      </w:r>
      <w:r>
        <w:rPr>
          <w:rFonts w:ascii="Arial" w:cs="Arial" w:eastAsia="Arial" w:hAnsi="Arial"/>
          <w:sz w:val="21"/>
          <w:szCs w:val="21"/>
          <w:color w:val="auto"/>
          <w:vertAlign w:val="superscript"/>
        </w:rPr>
        <w:t>(1)</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As reported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Special items </w:t>
      </w:r>
      <w:r>
        <w:rPr>
          <w:rFonts w:ascii="Arial" w:cs="Arial" w:eastAsia="Arial" w:hAnsi="Arial"/>
          <w:sz w:val="16"/>
          <w:szCs w:val="16"/>
          <w:color w:val="auto"/>
          <w:vertAlign w:val="superscript"/>
        </w:rPr>
        <w:t>(2)</w:t>
      </w:r>
      <w:r>
        <w:rPr>
          <w:rFonts w:ascii="Arial" w:cs="Arial" w:eastAsia="Arial" w:hAnsi="Arial"/>
          <w:sz w:val="13"/>
          <w:szCs w:val="13"/>
          <w:color w:val="auto"/>
        </w:rPr>
        <w:t>:</w:t>
      </w:r>
    </w:p>
    <w:p>
      <w:pPr>
        <w:jc w:val="both"/>
        <w:ind w:left="160" w:right="480"/>
        <w:spacing w:after="0" w:line="369" w:lineRule="auto"/>
        <w:rPr>
          <w:sz w:val="20"/>
          <w:szCs w:val="20"/>
          <w:color w:val="auto"/>
        </w:rPr>
      </w:pPr>
      <w:r>
        <w:rPr>
          <w:rFonts w:ascii="Arial" w:cs="Arial" w:eastAsia="Arial" w:hAnsi="Arial"/>
          <w:sz w:val="10"/>
          <w:szCs w:val="10"/>
          <w:color w:val="auto"/>
        </w:rPr>
        <w:t>Jackson mill conversion-related activities Facilities closure and other costs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special items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Excluding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As reported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Special items </w:t>
      </w:r>
      <w:r>
        <w:rPr>
          <w:rFonts w:ascii="Arial" w:cs="Arial" w:eastAsia="Arial" w:hAnsi="Arial"/>
          <w:sz w:val="16"/>
          <w:szCs w:val="16"/>
          <w:color w:val="auto"/>
          <w:vertAlign w:val="superscript"/>
        </w:rPr>
        <w:t>(2)</w:t>
      </w:r>
      <w:r>
        <w:rPr>
          <w:rFonts w:ascii="Arial" w:cs="Arial" w:eastAsia="Arial" w:hAnsi="Arial"/>
          <w:sz w:val="13"/>
          <w:szCs w:val="13"/>
          <w:color w:val="auto"/>
        </w:rPr>
        <w:t>:</w:t>
      </w:r>
    </w:p>
    <w:p>
      <w:pPr>
        <w:ind w:left="160"/>
        <w:spacing w:after="0"/>
        <w:rPr>
          <w:sz w:val="20"/>
          <w:szCs w:val="20"/>
          <w:color w:val="auto"/>
        </w:rPr>
      </w:pPr>
      <w:r>
        <w:rPr>
          <w:rFonts w:ascii="Arial" w:cs="Arial" w:eastAsia="Arial" w:hAnsi="Arial"/>
          <w:sz w:val="10"/>
          <w:szCs w:val="10"/>
          <w:color w:val="auto"/>
        </w:rPr>
        <w:t>Facilities closure and other costs (income)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0"/>
          <w:szCs w:val="10"/>
          <w:color w:val="auto"/>
        </w:rPr>
        <w:t>Jackson mill conversion-related activities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special items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Excluding special items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September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4"/>
        </w:trPr>
        <w:tc>
          <w:tcPr>
            <w:tcW w:w="120" w:type="dxa"/>
            <w:vAlign w:val="bottom"/>
          </w:tcPr>
          <w:p>
            <w:pPr>
              <w:spacing w:after="0"/>
              <w:rPr>
                <w:sz w:val="10"/>
                <w:szCs w:val="10"/>
                <w:color w:val="auto"/>
              </w:rPr>
            </w:pPr>
          </w:p>
        </w:tc>
        <w:tc>
          <w:tcPr>
            <w:tcW w:w="880" w:type="dxa"/>
            <w:vAlign w:val="bottom"/>
            <w:gridSpan w:val="3"/>
          </w:tcPr>
          <w:p>
            <w:pPr>
              <w:jc w:val="center"/>
              <w:ind w:right="400"/>
              <w:spacing w:after="0" w:line="12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0"/>
                <w:szCs w:val="10"/>
                <w:color w:val="auto"/>
              </w:rPr>
            </w:pPr>
          </w:p>
        </w:tc>
        <w:tc>
          <w:tcPr>
            <w:tcW w:w="900" w:type="dxa"/>
            <w:vAlign w:val="bottom"/>
            <w:gridSpan w:val="4"/>
          </w:tcPr>
          <w:p>
            <w:pPr>
              <w:jc w:val="center"/>
              <w:ind w:right="420"/>
              <w:spacing w:after="0" w:line="124" w:lineRule="exact"/>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400"/>
              <w:spacing w:after="0" w:line="124"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0"/>
                <w:szCs w:val="10"/>
                <w:color w:val="auto"/>
              </w:rPr>
            </w:pPr>
          </w:p>
        </w:tc>
        <w:tc>
          <w:tcPr>
            <w:tcW w:w="840" w:type="dxa"/>
            <w:vAlign w:val="bottom"/>
            <w:gridSpan w:val="3"/>
          </w:tcPr>
          <w:p>
            <w:pPr>
              <w:jc w:val="center"/>
              <w:ind w:right="360"/>
              <w:spacing w:after="0" w:line="124" w:lineRule="exact"/>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4"/>
        </w:trPr>
        <w:tc>
          <w:tcPr>
            <w:tcW w:w="10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4"/>
              </w:rPr>
              <w:t>before Taxes</w:t>
            </w:r>
          </w:p>
        </w:tc>
        <w:tc>
          <w:tcPr>
            <w:tcW w:w="120" w:type="dxa"/>
            <w:vAlign w:val="bottom"/>
          </w:tcPr>
          <w:p>
            <w:pPr>
              <w:spacing w:after="0"/>
              <w:rPr>
                <w:sz w:val="14"/>
                <w:szCs w:val="14"/>
                <w:color w:val="auto"/>
              </w:rPr>
            </w:pPr>
          </w:p>
        </w:tc>
        <w:tc>
          <w:tcPr>
            <w:tcW w:w="90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6"/>
              </w:rPr>
              <w:t>Taxes</w:t>
            </w:r>
          </w:p>
        </w:tc>
        <w:tc>
          <w:tcPr>
            <w:tcW w:w="9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4"/>
              </w:rPr>
              <w:t>Net Income</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Diluted EPS</w:t>
            </w:r>
          </w:p>
        </w:tc>
        <w:tc>
          <w:tcPr>
            <w:tcW w:w="3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before Taxes</w:t>
            </w:r>
          </w:p>
        </w:tc>
        <w:tc>
          <w:tcPr>
            <w:tcW w:w="100" w:type="dxa"/>
            <w:vAlign w:val="bottom"/>
          </w:tcPr>
          <w:p>
            <w:pPr>
              <w:spacing w:after="0"/>
              <w:rPr>
                <w:sz w:val="14"/>
                <w:szCs w:val="1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1"/>
              </w:rPr>
              <w:t>Taxes</w:t>
            </w:r>
          </w:p>
        </w:tc>
        <w:tc>
          <w:tcPr>
            <w:tcW w:w="9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4"/>
              </w:rPr>
              <w:t>Net Income</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Diluted EPS</w:t>
            </w:r>
          </w:p>
        </w:tc>
        <w:tc>
          <w:tcPr>
            <w:tcW w:w="100" w:type="dxa"/>
            <w:vAlign w:val="bottom"/>
          </w:tcPr>
          <w:p>
            <w:pPr>
              <w:spacing w:after="0"/>
              <w:rPr>
                <w:sz w:val="14"/>
                <w:szCs w:val="14"/>
                <w:color w:val="auto"/>
              </w:rPr>
            </w:pPr>
          </w:p>
        </w:tc>
      </w:tr>
      <w:tr>
        <w:trPr>
          <w:trHeight w:val="156"/>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(61.3</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ind w:right="14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183.2</w:t>
            </w:r>
          </w:p>
        </w:tc>
        <w:tc>
          <w:tcPr>
            <w:tcW w:w="24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w:t>
            </w:r>
          </w:p>
        </w:tc>
        <w:tc>
          <w:tcPr>
            <w:tcW w:w="300" w:type="dxa"/>
            <w:vAlign w:val="bottom"/>
          </w:tcPr>
          <w:p>
            <w:pPr>
              <w:spacing w:after="0"/>
              <w:rPr>
                <w:sz w:val="13"/>
                <w:szCs w:val="13"/>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347.4</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(84.9</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262.5</w:t>
            </w:r>
          </w:p>
        </w:tc>
        <w:tc>
          <w:tcPr>
            <w:tcW w:w="220" w:type="dxa"/>
            <w:vAlign w:val="bottom"/>
          </w:tcPr>
          <w:p>
            <w:pPr>
              <w:spacing w:after="0"/>
              <w:rPr>
                <w:sz w:val="13"/>
                <w:szCs w:val="13"/>
                <w:color w:val="auto"/>
              </w:rPr>
            </w:pPr>
          </w:p>
        </w:tc>
        <w:tc>
          <w:tcPr>
            <w:tcW w:w="2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r>
      <w:tr>
        <w:trPr>
          <w:trHeight w:val="323"/>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(0.6 )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0.02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24"/>
                <w:szCs w:val="24"/>
                <w:color w:val="auto"/>
              </w:rPr>
            </w:pPr>
          </w:p>
        </w:tc>
      </w:tr>
      <w:tr>
        <w:trPr>
          <w:trHeight w:val="184"/>
        </w:trPr>
        <w:tc>
          <w:tcPr>
            <w:tcW w:w="12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(0.1 )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(0.1 )</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r>
      <w:tr>
        <w:trPr>
          <w:trHeight w:val="148"/>
        </w:trPr>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(0.6</w:t>
            </w:r>
          </w:p>
        </w:tc>
        <w:tc>
          <w:tcPr>
            <w:tcW w:w="120" w:type="dxa"/>
            <w:vAlign w:val="bottom"/>
            <w:tcBorders>
              <w:top w:val="single" w:sz="8" w:color="CFF0FC"/>
              <w:bottom w:val="single" w:sz="8" w:color="CFF0FC"/>
            </w:tcBorders>
            <w:shd w:val="clear" w:color="auto" w:fill="CFF0FC"/>
          </w:tcPr>
          <w:p>
            <w:pPr>
              <w:jc w:val="right"/>
              <w:spacing w:after="0" w:line="147"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auto"/>
            </w:tcBorders>
            <w:shd w:val="clear" w:color="auto" w:fill="CFF0FC"/>
          </w:tcPr>
          <w:p>
            <w:pPr>
              <w:spacing w:after="0"/>
              <w:rPr>
                <w:sz w:val="12"/>
                <w:szCs w:val="12"/>
                <w:color w:val="auto"/>
              </w:rPr>
            </w:pPr>
          </w:p>
        </w:tc>
        <w:tc>
          <w:tcPr>
            <w:tcW w:w="580" w:type="dxa"/>
            <w:vAlign w:val="bottom"/>
            <w:tcBorders>
              <w:top w:val="single" w:sz="8" w:color="CFF0FC"/>
              <w:bottom w:val="single" w:sz="8" w:color="auto"/>
            </w:tcBorders>
            <w:shd w:val="clear" w:color="auto" w:fill="CFF0FC"/>
          </w:tcPr>
          <w:p>
            <w:pPr>
              <w:jc w:val="right"/>
              <w:spacing w:after="0" w:line="147" w:lineRule="exact"/>
              <w:rPr>
                <w:sz w:val="20"/>
                <w:szCs w:val="20"/>
                <w:color w:val="auto"/>
              </w:rPr>
            </w:pPr>
            <w:r>
              <w:rPr>
                <w:rFonts w:ascii="Arial" w:cs="Arial" w:eastAsia="Arial" w:hAnsi="Arial"/>
                <w:sz w:val="13"/>
                <w:szCs w:val="13"/>
                <w:color w:val="auto"/>
              </w:rPr>
              <w:t>0.02</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4.1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(1.0</w:t>
            </w:r>
          </w:p>
        </w:tc>
        <w:tc>
          <w:tcPr>
            <w:tcW w:w="100" w:type="dxa"/>
            <w:vAlign w:val="bottom"/>
            <w:tcBorders>
              <w:top w:val="single" w:sz="8" w:color="CFF0FC"/>
              <w:bottom w:val="single" w:sz="8" w:color="CFF0FC"/>
            </w:tcBorders>
            <w:shd w:val="clear" w:color="auto" w:fill="CFF0FC"/>
          </w:tcPr>
          <w:p>
            <w:pPr>
              <w:jc w:val="right"/>
              <w:spacing w:after="0" w:line="147"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3.1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CFF0FC"/>
              <w:bottom w:val="single" w:sz="8" w:color="auto"/>
            </w:tcBorders>
            <w:shd w:val="clear" w:color="auto" w:fill="CFF0FC"/>
          </w:tcPr>
          <w:p>
            <w:pPr>
              <w:spacing w:after="0"/>
              <w:rPr>
                <w:sz w:val="12"/>
                <w:szCs w:val="12"/>
                <w:color w:val="auto"/>
              </w:rPr>
            </w:pPr>
          </w:p>
        </w:tc>
        <w:tc>
          <w:tcPr>
            <w:tcW w:w="460" w:type="dxa"/>
            <w:vAlign w:val="bottom"/>
            <w:tcBorders>
              <w:top w:val="single" w:sz="8" w:color="CFF0FC"/>
              <w:bottom w:val="single" w:sz="8" w:color="auto"/>
            </w:tcBorders>
            <w:shd w:val="clear" w:color="auto" w:fill="CFF0FC"/>
          </w:tcPr>
          <w:p>
            <w:pPr>
              <w:jc w:val="right"/>
              <w:spacing w:after="0" w:line="147" w:lineRule="exact"/>
              <w:rPr>
                <w:sz w:val="20"/>
                <w:szCs w:val="20"/>
                <w:color w:val="auto"/>
              </w:rPr>
            </w:pPr>
            <w:r>
              <w:rPr>
                <w:rFonts w:ascii="Arial" w:cs="Arial" w:eastAsia="Arial" w:hAnsi="Arial"/>
                <w:sz w:val="13"/>
                <w:szCs w:val="13"/>
                <w:color w:val="auto"/>
              </w:rPr>
              <w:t>0.03</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56"/>
        </w:trPr>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247.0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(61.9 )</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185.1</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2.05</w:t>
            </w:r>
          </w:p>
        </w:tc>
        <w:tc>
          <w:tcPr>
            <w:tcW w:w="460" w:type="dxa"/>
            <w:vAlign w:val="bottom"/>
            <w:gridSpan w:val="2"/>
          </w:tcPr>
          <w:p>
            <w:pPr>
              <w:ind w:left="32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351.5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(85.9 )</w:t>
            </w:r>
          </w:p>
        </w:tc>
        <w:tc>
          <w:tcPr>
            <w:tcW w:w="120" w:type="dxa"/>
            <w:vAlign w:val="bottom"/>
          </w:tcPr>
          <w:p>
            <w:pPr>
              <w:spacing w:after="0"/>
              <w:rPr>
                <w:sz w:val="13"/>
                <w:szCs w:val="13"/>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265.6</w:t>
            </w:r>
          </w:p>
        </w:tc>
        <w:tc>
          <w:tcPr>
            <w:tcW w:w="220" w:type="dxa"/>
            <w:vAlign w:val="bottom"/>
          </w:tcPr>
          <w:p>
            <w:pPr>
              <w:spacing w:after="0"/>
              <w:rPr>
                <w:sz w:val="13"/>
                <w:szCs w:val="13"/>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2.83</w:t>
            </w:r>
          </w:p>
        </w:tc>
        <w:tc>
          <w:tcPr>
            <w:tcW w:w="100" w:type="dxa"/>
            <w:vAlign w:val="bottom"/>
          </w:tcPr>
          <w:p>
            <w:pPr>
              <w:spacing w:after="0"/>
              <w:rPr>
                <w:sz w:val="13"/>
                <w:szCs w:val="13"/>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5"/>
          </w:tcPr>
          <w:p>
            <w:pPr>
              <w:jc w:val="center"/>
              <w:ind w:right="560"/>
              <w:spacing w:after="0"/>
              <w:rPr>
                <w:sz w:val="20"/>
                <w:szCs w:val="20"/>
                <w:color w:val="auto"/>
              </w:rPr>
            </w:pPr>
            <w:r>
              <w:rPr>
                <w:rFonts w:ascii="Arial" w:cs="Arial" w:eastAsia="Arial" w:hAnsi="Arial"/>
                <w:sz w:val="13"/>
                <w:szCs w:val="13"/>
                <w:b w:val="1"/>
                <w:bCs w:val="1"/>
                <w:color w:val="auto"/>
                <w:w w:val="88"/>
              </w:rPr>
              <w:t>Nine Months Ended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3"/>
                <w:szCs w:val="13"/>
                <w:b w:val="1"/>
                <w:bCs w:val="1"/>
                <w:color w:val="auto"/>
                <w:w w:val="85"/>
              </w:rPr>
              <w:t>September 30,</w:t>
            </w: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4"/>
        </w:trPr>
        <w:tc>
          <w:tcPr>
            <w:tcW w:w="120" w:type="dxa"/>
            <w:vAlign w:val="bottom"/>
          </w:tcPr>
          <w:p>
            <w:pPr>
              <w:spacing w:after="0"/>
              <w:rPr>
                <w:sz w:val="10"/>
                <w:szCs w:val="10"/>
                <w:color w:val="auto"/>
              </w:rPr>
            </w:pPr>
          </w:p>
        </w:tc>
        <w:tc>
          <w:tcPr>
            <w:tcW w:w="880" w:type="dxa"/>
            <w:vAlign w:val="bottom"/>
            <w:gridSpan w:val="3"/>
          </w:tcPr>
          <w:p>
            <w:pPr>
              <w:jc w:val="center"/>
              <w:ind w:right="400"/>
              <w:spacing w:after="0" w:line="12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0"/>
                <w:szCs w:val="10"/>
                <w:color w:val="auto"/>
              </w:rPr>
            </w:pPr>
          </w:p>
        </w:tc>
        <w:tc>
          <w:tcPr>
            <w:tcW w:w="900" w:type="dxa"/>
            <w:vAlign w:val="bottom"/>
            <w:gridSpan w:val="4"/>
          </w:tcPr>
          <w:p>
            <w:pPr>
              <w:jc w:val="center"/>
              <w:ind w:right="420"/>
              <w:spacing w:after="0" w:line="124" w:lineRule="exact"/>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400"/>
              <w:spacing w:after="0" w:line="124"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0"/>
                <w:szCs w:val="10"/>
                <w:color w:val="auto"/>
              </w:rPr>
            </w:pPr>
          </w:p>
        </w:tc>
        <w:tc>
          <w:tcPr>
            <w:tcW w:w="840" w:type="dxa"/>
            <w:vAlign w:val="bottom"/>
            <w:gridSpan w:val="3"/>
          </w:tcPr>
          <w:p>
            <w:pPr>
              <w:jc w:val="center"/>
              <w:ind w:right="360"/>
              <w:spacing w:after="0" w:line="124" w:lineRule="exact"/>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10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4"/>
              </w:rPr>
              <w:t>before Taxes</w:t>
            </w:r>
          </w:p>
        </w:tc>
        <w:tc>
          <w:tcPr>
            <w:tcW w:w="120" w:type="dxa"/>
            <w:vAlign w:val="bottom"/>
          </w:tcPr>
          <w:p>
            <w:pPr>
              <w:spacing w:after="0"/>
              <w:rPr>
                <w:sz w:val="14"/>
                <w:szCs w:val="14"/>
                <w:color w:val="auto"/>
              </w:rPr>
            </w:pPr>
          </w:p>
        </w:tc>
        <w:tc>
          <w:tcPr>
            <w:tcW w:w="90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6"/>
              </w:rPr>
              <w:t>Taxes</w:t>
            </w:r>
          </w:p>
        </w:tc>
        <w:tc>
          <w:tcPr>
            <w:tcW w:w="9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4"/>
              </w:rPr>
              <w:t>Net Income</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Diluted EPS</w:t>
            </w:r>
          </w:p>
        </w:tc>
        <w:tc>
          <w:tcPr>
            <w:tcW w:w="3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before Taxes</w:t>
            </w:r>
          </w:p>
        </w:tc>
        <w:tc>
          <w:tcPr>
            <w:tcW w:w="100" w:type="dxa"/>
            <w:vAlign w:val="bottom"/>
          </w:tcPr>
          <w:p>
            <w:pPr>
              <w:spacing w:after="0"/>
              <w:rPr>
                <w:sz w:val="14"/>
                <w:szCs w:val="1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1"/>
              </w:rPr>
              <w:t>Taxes</w:t>
            </w:r>
          </w:p>
        </w:tc>
        <w:tc>
          <w:tcPr>
            <w:tcW w:w="9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4"/>
              </w:rPr>
              <w:t>Net Income</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Diluted EPS</w:t>
            </w:r>
          </w:p>
        </w:tc>
        <w:tc>
          <w:tcPr>
            <w:tcW w:w="100" w:type="dxa"/>
            <w:vAlign w:val="bottom"/>
          </w:tcPr>
          <w:p>
            <w:pPr>
              <w:spacing w:after="0"/>
              <w:rPr>
                <w:sz w:val="14"/>
                <w:szCs w:val="14"/>
                <w:color w:val="auto"/>
              </w:rPr>
            </w:pPr>
          </w:p>
        </w:tc>
      </w:tr>
      <w:tr>
        <w:trPr>
          <w:trHeight w:val="15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(189.6</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ind w:right="14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576.0</w:t>
            </w:r>
          </w:p>
        </w:tc>
        <w:tc>
          <w:tcPr>
            <w:tcW w:w="24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6.38</w:t>
            </w:r>
          </w:p>
        </w:tc>
        <w:tc>
          <w:tcPr>
            <w:tcW w:w="300" w:type="dxa"/>
            <w:vAlign w:val="bottom"/>
          </w:tcPr>
          <w:p>
            <w:pPr>
              <w:spacing w:after="0"/>
              <w:rPr>
                <w:sz w:val="13"/>
                <w:szCs w:val="13"/>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1,088.3</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(270.1</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818.2</w:t>
            </w:r>
          </w:p>
        </w:tc>
        <w:tc>
          <w:tcPr>
            <w:tcW w:w="220" w:type="dxa"/>
            <w:vAlign w:val="bottom"/>
          </w:tcPr>
          <w:p>
            <w:pPr>
              <w:spacing w:after="0"/>
              <w:rPr>
                <w:sz w:val="13"/>
                <w:szCs w:val="13"/>
                <w:color w:val="auto"/>
              </w:rPr>
            </w:pPr>
          </w:p>
        </w:tc>
        <w:tc>
          <w:tcPr>
            <w:tcW w:w="2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8.70</w:t>
            </w:r>
          </w:p>
        </w:tc>
        <w:tc>
          <w:tcPr>
            <w:tcW w:w="100" w:type="dxa"/>
            <w:vAlign w:val="bottom"/>
          </w:tcPr>
          <w:p>
            <w:pPr>
              <w:spacing w:after="0"/>
              <w:rPr>
                <w:sz w:val="13"/>
                <w:szCs w:val="13"/>
                <w:color w:val="auto"/>
              </w:rPr>
            </w:pPr>
          </w:p>
        </w:tc>
      </w:tr>
      <w:tr>
        <w:trPr>
          <w:trHeight w:val="323"/>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(3.4 )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(0.2 )</w:t>
            </w:r>
          </w:p>
        </w:tc>
        <w:tc>
          <w:tcPr>
            <w:tcW w:w="100" w:type="dxa"/>
            <w:vAlign w:val="bottom"/>
          </w:tcPr>
          <w:p>
            <w:pPr>
              <w:spacing w:after="0"/>
              <w:rPr>
                <w:sz w:val="24"/>
                <w:szCs w:val="2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(0.2 )</w:t>
            </w: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r>
      <w:tr>
        <w:trPr>
          <w:trHeight w:val="163"/>
        </w:trPr>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(2.0 )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0.07</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(2.3 )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0.08</w:t>
            </w:r>
          </w:p>
        </w:tc>
        <w:tc>
          <w:tcPr>
            <w:tcW w:w="100" w:type="dxa"/>
            <w:vAlign w:val="bottom"/>
          </w:tcPr>
          <w:p>
            <w:pPr>
              <w:spacing w:after="0"/>
              <w:rPr>
                <w:sz w:val="14"/>
                <w:szCs w:val="14"/>
                <w:color w:val="auto"/>
              </w:rPr>
            </w:pPr>
          </w:p>
        </w:tc>
      </w:tr>
      <w:tr>
        <w:trPr>
          <w:trHeight w:val="156"/>
        </w:trPr>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0.18</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0.08</w:t>
            </w:r>
          </w:p>
        </w:tc>
        <w:tc>
          <w:tcPr>
            <w:tcW w:w="100" w:type="dxa"/>
            <w:vAlign w:val="bottom"/>
          </w:tcPr>
          <w:p>
            <w:pPr>
              <w:spacing w:after="0"/>
              <w:rPr>
                <w:sz w:val="13"/>
                <w:szCs w:val="13"/>
                <w:color w:val="auto"/>
              </w:rPr>
            </w:pPr>
          </w:p>
        </w:tc>
      </w:tr>
      <w:tr>
        <w:trPr>
          <w:trHeight w:val="15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(195.0</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91"/>
              </w:rPr>
              <w:t>)</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592.3</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6.56</w:t>
            </w:r>
          </w:p>
        </w:tc>
        <w:tc>
          <w:tcPr>
            <w:tcW w:w="300" w:type="dxa"/>
            <w:vAlign w:val="bottom"/>
          </w:tcPr>
          <w:p>
            <w:pPr>
              <w:spacing w:after="0"/>
              <w:rPr>
                <w:sz w:val="13"/>
                <w:szCs w:val="1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1,097.5</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(272.4</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91"/>
              </w:rPr>
              <w:t>)</w:t>
            </w:r>
          </w:p>
        </w:tc>
        <w:tc>
          <w:tcPr>
            <w:tcW w:w="120" w:type="dxa"/>
            <w:vAlign w:val="bottom"/>
          </w:tcPr>
          <w:p>
            <w:pPr>
              <w:spacing w:after="0"/>
              <w:rPr>
                <w:sz w:val="13"/>
                <w:szCs w:val="13"/>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825.1</w:t>
            </w:r>
          </w:p>
        </w:tc>
        <w:tc>
          <w:tcPr>
            <w:tcW w:w="22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8.78</w:t>
            </w:r>
          </w:p>
        </w:tc>
        <w:tc>
          <w:tcPr>
            <w:tcW w:w="100" w:type="dxa"/>
            <w:vAlign w:val="bottom"/>
          </w:tcPr>
          <w:p>
            <w:pPr>
              <w:spacing w:after="0"/>
              <w:rPr>
                <w:sz w:val="13"/>
                <w:szCs w:val="1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-1988185</wp:posOffset>
            </wp:positionV>
            <wp:extent cx="713232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-1782445</wp:posOffset>
            </wp:positionV>
            <wp:extent cx="713232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-1581150</wp:posOffset>
            </wp:positionV>
            <wp:extent cx="7132320" cy="261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16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-659765</wp:posOffset>
            </wp:positionV>
            <wp:extent cx="713232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-454025</wp:posOffset>
            </wp:positionV>
            <wp:extent cx="713232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-239395</wp:posOffset>
            </wp:positionV>
            <wp:extent cx="713232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2780" w:space="720"/>
            <w:col w:w="7740"/>
          </w:cols>
          <w:pgMar w:left="320" w:top="337" w:right="339" w:bottom="1440" w:gutter="0" w:footer="0" w:header="0"/>
          <w:type w:val="continuous"/>
        </w:sectPr>
      </w:pPr>
    </w:p>
    <w:p>
      <w:pPr>
        <w:jc w:val="both"/>
        <w:ind w:left="520" w:hanging="512"/>
        <w:spacing w:after="0" w:line="291"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Net income and earnings per share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their performance. Any analysis of non-GAAP financial measures should be done only in conjunction with results presented in accordance with GAAP. The non-GAAP measures are not intended to be substitutes for GAAP financial measures and should not be used as such.</w:t>
      </w:r>
    </w:p>
    <w:p>
      <w:pPr>
        <w:spacing w:after="0" w:line="68" w:lineRule="exact"/>
        <w:rPr>
          <w:rFonts w:ascii="Arial" w:cs="Arial" w:eastAsia="Arial" w:hAnsi="Arial"/>
          <w:sz w:val="15"/>
          <w:szCs w:val="15"/>
          <w:color w:val="auto"/>
        </w:rPr>
      </w:pPr>
    </w:p>
    <w:p>
      <w:pPr>
        <w:jc w:val="both"/>
        <w:ind w:left="520" w:hanging="512"/>
        <w:spacing w:after="0" w:line="273"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Pre-tax special items are tax-effected at a combined federal and state income tax rate in effect for the period the special items were recorded and this rate is adjusted for each subsequent quarter to be consistent with the estimated annual effective tax rate, in accordance with ASC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ASC 740-270,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 – Intra Period Tax Allocation</w:t>
      </w:r>
      <w:r>
        <w:rPr>
          <w:rFonts w:ascii="Arial" w:cs="Arial" w:eastAsia="Arial" w:hAnsi="Arial"/>
          <w:sz w:val="16"/>
          <w:szCs w:val="16"/>
          <w:color w:val="auto"/>
        </w:rPr>
        <w:t>. For all periods presented, income taxes on pre-tax special items represent the current amount of tax. For more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these items, see the footnotes to the Consolidated Earnings Results on page 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EBITDA and EBITDA Excluding Special Items </w:t>
      </w:r>
      <w:r>
        <w:rPr>
          <w:rFonts w:ascii="Arial" w:cs="Arial" w:eastAsia="Arial" w:hAnsi="Arial"/>
          <w:sz w:val="24"/>
          <w:szCs w:val="24"/>
          <w:color w:val="auto"/>
          <w:vertAlign w:val="superscript"/>
        </w:rPr>
        <w:t>(1)</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EBITDA represents income before non-operating pension expense (income), interest, income taxes, and depreciation, amortization, and depletion. The following table reconciles net income to EBITDA and EBITDA excluding special items: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183.2</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6"/>
                <w:szCs w:val="16"/>
                <w:color w:val="auto"/>
              </w:rPr>
              <w:t>Non-operating pension expense (income)</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129.3</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386.8</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EBITDA </w:t>
            </w:r>
            <w:r>
              <w:rPr>
                <w:rFonts w:ascii="Arial" w:cs="Arial" w:eastAsia="Arial" w:hAnsi="Arial"/>
                <w:sz w:val="21"/>
                <w:szCs w:val="21"/>
                <w:b w:val="1"/>
                <w:bCs w:val="1"/>
                <w:color w:val="auto"/>
                <w:vertAlign w:val="superscript"/>
              </w:rPr>
              <w:t>(1)</w:t>
            </w:r>
          </w:p>
        </w:tc>
        <w:tc>
          <w:tcPr>
            <w:tcW w:w="840" w:type="dxa"/>
            <w:vAlign w:val="bottom"/>
          </w:tcPr>
          <w:p>
            <w:pPr>
              <w:jc w:val="right"/>
              <w:ind w:right="655"/>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387.9</w:t>
            </w:r>
          </w:p>
        </w:tc>
        <w:tc>
          <w:tcPr>
            <w:tcW w:w="280" w:type="dxa"/>
            <w:vAlign w:val="bottom"/>
          </w:tcPr>
          <w:p>
            <w:pPr>
              <w:spacing w:after="0"/>
              <w:rPr>
                <w:sz w:val="20"/>
                <w:szCs w:val="20"/>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474.3</w:t>
            </w:r>
          </w:p>
        </w:tc>
        <w:tc>
          <w:tcPr>
            <w:tcW w:w="10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1,200.4</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Special items:</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0"/>
              <w:spacing w:after="0"/>
              <w:rPr>
                <w:sz w:val="20"/>
                <w:szCs w:val="20"/>
                <w:color w:val="auto"/>
              </w:rPr>
            </w:pPr>
            <w:r>
              <w:rPr>
                <w:rFonts w:ascii="Arial" w:cs="Arial" w:eastAsia="Arial" w:hAnsi="Arial"/>
                <w:sz w:val="16"/>
                <w:szCs w:val="16"/>
                <w:color w:val="auto"/>
              </w:rPr>
              <w:t>Facilities closure and other costs (income)</w:t>
            </w:r>
          </w:p>
        </w:tc>
        <w:tc>
          <w:tcPr>
            <w:tcW w:w="8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(0.1 )</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Jackson mill conversion-related activities</w:t>
            </w:r>
          </w:p>
        </w:tc>
        <w:tc>
          <w:tcPr>
            <w:tcW w:w="8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40" w:type="dxa"/>
            <w:vAlign w:val="bottom"/>
          </w:tcPr>
          <w:p>
            <w:pPr>
              <w:ind w:left="20"/>
              <w:spacing w:after="0" w:line="237" w:lineRule="exact"/>
              <w:rPr>
                <w:sz w:val="20"/>
                <w:szCs w:val="20"/>
                <w:color w:val="auto"/>
              </w:rPr>
            </w:pPr>
            <w:r>
              <w:rPr>
                <w:rFonts w:ascii="Arial" w:cs="Arial" w:eastAsia="Arial" w:hAnsi="Arial"/>
                <w:sz w:val="16"/>
                <w:szCs w:val="16"/>
                <w:b w:val="1"/>
                <w:bCs w:val="1"/>
                <w:color w:val="auto"/>
              </w:rPr>
              <w:t xml:space="preserve">EBITDA excluding special items </w:t>
            </w:r>
            <w:r>
              <w:rPr>
                <w:rFonts w:ascii="Arial" w:cs="Arial" w:eastAsia="Arial" w:hAnsi="Arial"/>
                <w:sz w:val="21"/>
                <w:szCs w:val="21"/>
                <w:b w:val="1"/>
                <w:bCs w:val="1"/>
                <w:color w:val="auto"/>
                <w:vertAlign w:val="superscript"/>
              </w:rPr>
              <w:t>(1)</w:t>
            </w:r>
          </w:p>
        </w:tc>
        <w:tc>
          <w:tcPr>
            <w:tcW w:w="8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387.8</w:t>
            </w:r>
          </w:p>
        </w:tc>
        <w:tc>
          <w:tcPr>
            <w:tcW w:w="2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1,210.2</w:t>
            </w: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40"/>
              <w:spacing w:after="0"/>
              <w:rPr>
                <w:sz w:val="20"/>
                <w:szCs w:val="20"/>
                <w:color w:val="auto"/>
              </w:rPr>
            </w:pPr>
            <w:r>
              <w:rPr>
                <w:rFonts w:ascii="Arial" w:cs="Arial" w:eastAsia="Arial" w:hAnsi="Arial"/>
                <w:sz w:val="11"/>
                <w:szCs w:val="11"/>
                <w:color w:val="auto"/>
              </w:rPr>
              <w:t>____________</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9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-919480</wp:posOffset>
            </wp:positionV>
            <wp:extent cx="7747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-919480</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-919480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-919480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3"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footnote (1) on page 3,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segment income (loss) to EBITDA excluding special items: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9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9"/>
                <w:szCs w:val="19"/>
                <w:color w:val="auto"/>
              </w:rPr>
            </w:pPr>
          </w:p>
        </w:tc>
      </w:tr>
      <w:tr>
        <w:trPr>
          <w:trHeight w:val="237"/>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Packaging</w:t>
            </w: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6"/>
                <w:szCs w:val="16"/>
                <w:color w:val="auto"/>
              </w:rPr>
              <w:t>Segment income</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256.8</w:t>
            </w:r>
          </w:p>
        </w:tc>
        <w:tc>
          <w:tcPr>
            <w:tcW w:w="2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810.5</w:t>
            </w:r>
          </w:p>
        </w:tc>
        <w:tc>
          <w:tcPr>
            <w:tcW w:w="26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20"/>
                <w:szCs w:val="20"/>
                <w:color w:val="auto"/>
              </w:rPr>
            </w:pPr>
          </w:p>
        </w:tc>
      </w:tr>
      <w:tr>
        <w:trPr>
          <w:trHeight w:val="246"/>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96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1,163.2</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1,453.5</w:t>
            </w:r>
          </w:p>
        </w:tc>
        <w:tc>
          <w:tcPr>
            <w:tcW w:w="100" w:type="dxa"/>
            <w:vAlign w:val="bottom"/>
          </w:tcPr>
          <w:p>
            <w:pPr>
              <w:spacing w:after="0"/>
              <w:rPr>
                <w:sz w:val="20"/>
                <w:szCs w:val="20"/>
                <w:color w:val="auto"/>
              </w:rPr>
            </w:pPr>
          </w:p>
        </w:tc>
      </w:tr>
      <w:tr>
        <w:trPr>
          <w:trHeight w:val="236"/>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Facilities closure and other costs (income)</w:t>
            </w: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4960" w:type="dxa"/>
            <w:vAlign w:val="bottom"/>
          </w:tcPr>
          <w:p>
            <w:pPr>
              <w:ind w:left="200"/>
              <w:spacing w:after="0"/>
              <w:rPr>
                <w:sz w:val="20"/>
                <w:szCs w:val="20"/>
                <w:color w:val="auto"/>
              </w:rPr>
            </w:pPr>
            <w:r>
              <w:rPr>
                <w:rFonts w:ascii="Arial" w:cs="Arial" w:eastAsia="Arial" w:hAnsi="Arial"/>
                <w:sz w:val="16"/>
                <w:szCs w:val="16"/>
                <w:color w:val="auto"/>
              </w:rPr>
              <w:t>Jackson mill conversion-related activities</w:t>
            </w:r>
          </w:p>
        </w:tc>
        <w:tc>
          <w:tcPr>
            <w:tcW w:w="840" w:type="dxa"/>
            <w:vAlign w:val="bottom"/>
          </w:tcPr>
          <w:p>
            <w:pPr>
              <w:spacing w:after="0"/>
              <w:rPr>
                <w:sz w:val="20"/>
                <w:szCs w:val="20"/>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(0.3 )</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r>
      <w:tr>
        <w:trPr>
          <w:trHeight w:val="283"/>
        </w:trPr>
        <w:tc>
          <w:tcPr>
            <w:tcW w:w="49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xml:space="preserve">EBITDA excluding special items </w:t>
            </w:r>
            <w:r>
              <w:rPr>
                <w:rFonts w:ascii="Arial" w:cs="Arial" w:eastAsia="Arial" w:hAnsi="Arial"/>
                <w:sz w:val="21"/>
                <w:szCs w:val="21"/>
                <w:color w:val="auto"/>
                <w:vertAlign w:val="superscript"/>
              </w:rPr>
              <w:t>(1)</w:t>
            </w: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374.2</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467.1</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1,171.0</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1,456.3</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23"/>
        </w:trPr>
        <w:tc>
          <w:tcPr>
            <w:tcW w:w="4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Paper</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6"/>
                <w:szCs w:val="16"/>
                <w:color w:val="auto"/>
              </w:rPr>
              <w:t>Segment income</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r>
      <w:tr>
        <w:trPr>
          <w:trHeight w:val="246"/>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496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0"/>
                <w:szCs w:val="20"/>
                <w:color w:val="auto"/>
              </w:rPr>
            </w:pPr>
          </w:p>
        </w:tc>
      </w:tr>
      <w:tr>
        <w:trPr>
          <w:trHeight w:val="237"/>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Jackson mill conversion-related activities</w:t>
            </w:r>
          </w:p>
        </w:tc>
        <w:tc>
          <w:tcPr>
            <w:tcW w:w="8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0"/>
                <w:szCs w:val="20"/>
                <w:color w:val="auto"/>
              </w:rPr>
            </w:pPr>
          </w:p>
        </w:tc>
      </w:tr>
      <w:tr>
        <w:trPr>
          <w:trHeight w:val="237"/>
        </w:trPr>
        <w:tc>
          <w:tcPr>
            <w:tcW w:w="496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EBITDA excluding special items </w:t>
            </w:r>
            <w:r>
              <w:rPr>
                <w:rFonts w:ascii="Arial" w:cs="Arial" w:eastAsia="Arial" w:hAnsi="Arial"/>
                <w:sz w:val="21"/>
                <w:szCs w:val="21"/>
                <w:color w:val="auto"/>
                <w:vertAlign w:val="superscript"/>
              </w:rPr>
              <w:t>(1)</w:t>
            </w:r>
          </w:p>
        </w:tc>
        <w:tc>
          <w:tcPr>
            <w:tcW w:w="8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115.3</w:t>
            </w:r>
          </w:p>
        </w:tc>
        <w:tc>
          <w:tcPr>
            <w:tcW w:w="260" w:type="dxa"/>
            <w:vAlign w:val="bottom"/>
          </w:tcPr>
          <w:p>
            <w:pPr>
              <w:spacing w:after="0"/>
              <w:rPr>
                <w:sz w:val="20"/>
                <w:szCs w:val="20"/>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Corporate and Other</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6"/>
                <w:szCs w:val="16"/>
                <w:color w:val="auto"/>
              </w:rPr>
              <w:t>Segment loss</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(25.8 )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(87.7 )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(79.8 )</w:t>
            </w:r>
          </w:p>
        </w:tc>
      </w:tr>
      <w:tr>
        <w:trPr>
          <w:trHeight w:val="246"/>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96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8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(21.8 )</w:t>
            </w:r>
          </w:p>
        </w:tc>
        <w:tc>
          <w:tcPr>
            <w:tcW w:w="5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(76.1 )</w:t>
            </w:r>
          </w:p>
        </w:tc>
        <w:tc>
          <w:tcPr>
            <w:tcW w:w="5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(72.5 )</w:t>
            </w:r>
          </w:p>
        </w:tc>
      </w:tr>
      <w:tr>
        <w:trPr>
          <w:trHeight w:val="277"/>
        </w:trPr>
        <w:tc>
          <w:tcPr>
            <w:tcW w:w="4960" w:type="dxa"/>
            <w:vAlign w:val="bottom"/>
            <w:tcBorders>
              <w:bottom w:val="single" w:sz="8" w:color="CFF0FC"/>
            </w:tcBorders>
            <w:shd w:val="clear" w:color="auto" w:fill="CFF0FC"/>
          </w:tcPr>
          <w:p>
            <w:pPr>
              <w:ind w:left="20"/>
              <w:spacing w:after="0" w:line="237" w:lineRule="exact"/>
              <w:rPr>
                <w:sz w:val="20"/>
                <w:szCs w:val="20"/>
                <w:color w:val="auto"/>
              </w:rPr>
            </w:pPr>
            <w:r>
              <w:rPr>
                <w:rFonts w:ascii="Arial" w:cs="Arial" w:eastAsia="Arial" w:hAnsi="Arial"/>
                <w:sz w:val="16"/>
                <w:szCs w:val="16"/>
                <w:color w:val="auto"/>
              </w:rPr>
              <w:t xml:space="preserve">EBITDA excluding special items </w:t>
            </w:r>
            <w:r>
              <w:rPr>
                <w:rFonts w:ascii="Arial" w:cs="Arial" w:eastAsia="Arial" w:hAnsi="Arial"/>
                <w:sz w:val="21"/>
                <w:szCs w:val="21"/>
                <w:color w:val="auto"/>
                <w:vertAlign w:val="superscript"/>
              </w:rPr>
              <w:t>(1)</w:t>
            </w: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(21.8</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23"/>
        </w:trPr>
        <w:tc>
          <w:tcPr>
            <w:tcW w:w="4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 xml:space="preserve">EBITDA excluding special items </w:t>
            </w:r>
            <w:r>
              <w:rPr>
                <w:rFonts w:ascii="Arial" w:cs="Arial" w:eastAsia="Arial" w:hAnsi="Arial"/>
                <w:sz w:val="21"/>
                <w:szCs w:val="21"/>
                <w:b w:val="1"/>
                <w:bCs w:val="1"/>
                <w:color w:val="auto"/>
                <w:vertAlign w:val="superscript"/>
              </w:rPr>
              <w:t>(1)</w:t>
            </w:r>
          </w:p>
        </w:tc>
        <w:tc>
          <w:tcPr>
            <w:tcW w:w="840" w:type="dxa"/>
            <w:vAlign w:val="bottom"/>
            <w:shd w:val="clear" w:color="auto" w:fill="CFF0FC"/>
          </w:tcPr>
          <w:p>
            <w:pPr>
              <w:jc w:val="right"/>
              <w:ind w:right="652"/>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387.8</w:t>
            </w:r>
          </w:p>
        </w:tc>
        <w:tc>
          <w:tcPr>
            <w:tcW w:w="28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477.1</w:t>
            </w:r>
          </w:p>
        </w:tc>
        <w:tc>
          <w:tcPr>
            <w:tcW w:w="120" w:type="dxa"/>
            <w:vAlign w:val="bottom"/>
            <w:shd w:val="clear" w:color="auto" w:fill="CFF0FC"/>
          </w:tcPr>
          <w:p>
            <w:pPr>
              <w:spacing w:after="0"/>
              <w:rPr>
                <w:sz w:val="24"/>
                <w:szCs w:val="24"/>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1,210.2</w:t>
            </w:r>
          </w:p>
        </w:tc>
        <w:tc>
          <w:tcPr>
            <w:tcW w:w="26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1,476.8</w:t>
            </w:r>
          </w:p>
        </w:tc>
        <w:tc>
          <w:tcPr>
            <w:tcW w:w="100" w:type="dxa"/>
            <w:vAlign w:val="bottom"/>
            <w:shd w:val="clear" w:color="auto" w:fill="CFF0FC"/>
          </w:tcPr>
          <w:p>
            <w:pPr>
              <w:spacing w:after="0"/>
              <w:rPr>
                <w:sz w:val="24"/>
                <w:szCs w:val="24"/>
                <w:color w:val="auto"/>
              </w:rPr>
            </w:pPr>
          </w:p>
        </w:tc>
      </w:tr>
      <w:tr>
        <w:trPr>
          <w:trHeight w:val="121"/>
        </w:trPr>
        <w:tc>
          <w:tcPr>
            <w:tcW w:w="4960" w:type="dxa"/>
            <w:vAlign w:val="bottom"/>
            <w:tcBorders>
              <w:top w:val="single" w:sz="8" w:color="CFF0FC"/>
            </w:tcBorders>
          </w:tcPr>
          <w:p>
            <w:pPr>
              <w:ind w:left="40"/>
              <w:spacing w:after="0" w:line="121" w:lineRule="exact"/>
              <w:rPr>
                <w:sz w:val="20"/>
                <w:szCs w:val="20"/>
                <w:color w:val="auto"/>
              </w:rPr>
            </w:pPr>
            <w:r>
              <w:rPr>
                <w:rFonts w:ascii="Arial" w:cs="Arial" w:eastAsia="Arial" w:hAnsi="Arial"/>
                <w:sz w:val="11"/>
                <w:szCs w:val="11"/>
                <w:color w:val="auto"/>
              </w:rPr>
              <w:t>____________</w:t>
            </w:r>
          </w:p>
        </w:tc>
        <w:tc>
          <w:tcPr>
            <w:tcW w:w="8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-3191510</wp:posOffset>
            </wp:positionV>
            <wp:extent cx="7683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-3191510</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-3191510</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-3191510</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-2711450</wp:posOffset>
            </wp:positionV>
            <wp:extent cx="3128645" cy="342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28645" cy="34290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-1905635</wp:posOffset>
            </wp:positionV>
            <wp:extent cx="7683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-1905635</wp:posOffset>
            </wp:positionV>
            <wp:extent cx="685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-1905635</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-1905635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-774065</wp:posOffset>
            </wp:positionV>
            <wp:extent cx="7683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-774065</wp:posOffset>
            </wp:positionV>
            <wp:extent cx="685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-774065</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-774065</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-448310</wp:posOffset>
            </wp:positionV>
            <wp:extent cx="312864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28645" cy="1797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-114300</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-97155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-114300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-97155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-114300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-97155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-114300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-97155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3"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 (1) on page 3,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2023-10-24T05:22:53Z</dcterms:created>
  <dcterms:modified xsi:type="dcterms:W3CDTF">2023-10-24T05:22:53Z</dcterms:modified>
</cp:coreProperties>
</file>