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325755</wp:posOffset>
            </wp:positionH>
            <wp:positionV relativeFrom="page">
              <wp:posOffset>165100</wp:posOffset>
            </wp:positionV>
            <wp:extent cx="6905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5625" cy="8255"/>
                    </a:xfrm>
                    <a:prstGeom prst="rect">
                      <a:avLst/>
                    </a:prstGeom>
                    <a:noFill/>
                  </pic:spPr>
                </pic:pic>
              </a:graphicData>
            </a:graphic>
          </wp:anchor>
        </w:drawing>
        <w:drawing>
          <wp:anchor simplePos="0" relativeHeight="251657728" behindDoc="1" locked="0" layoutInCell="0" allowOverlap="1">
            <wp:simplePos x="0" y="0"/>
            <wp:positionH relativeFrom="page">
              <wp:posOffset>325755</wp:posOffset>
            </wp:positionH>
            <wp:positionV relativeFrom="page">
              <wp:posOffset>207645</wp:posOffset>
            </wp:positionV>
            <wp:extent cx="6905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5625" cy="8255"/>
                    </a:xfrm>
                    <a:prstGeom prst="rect">
                      <a:avLst/>
                    </a:prstGeom>
                    <a:noFill/>
                  </pic:spPr>
                </pic:pic>
              </a:graphicData>
            </a:graphic>
          </wp:anchor>
        </w:drawing>
        <w:t>UNITED STATES</w:t>
      </w:r>
    </w:p>
    <w:p>
      <w:pPr>
        <w:spacing w:after="0" w:line="21" w:lineRule="exact"/>
        <w:rPr>
          <w:sz w:val="24"/>
          <w:szCs w:val="24"/>
          <w:color w:val="auto"/>
        </w:rPr>
      </w:pPr>
    </w:p>
    <w:p>
      <w:pPr>
        <w:jc w:val="center"/>
        <w:ind w:right="-920"/>
        <w:spacing w:after="0"/>
        <w:rPr>
          <w:sz w:val="20"/>
          <w:szCs w:val="20"/>
          <w:color w:val="auto"/>
        </w:rPr>
      </w:pPr>
      <w:r>
        <w:rPr>
          <w:rFonts w:ascii="Arial" w:cs="Arial" w:eastAsia="Arial" w:hAnsi="Arial"/>
          <w:sz w:val="32"/>
          <w:szCs w:val="32"/>
          <w:b w:val="1"/>
          <w:bCs w:val="1"/>
          <w:color w:val="auto"/>
        </w:rPr>
        <w:t>SECURITIES AND EXCHANGE COMMISSION</w:t>
      </w:r>
    </w:p>
    <w:p>
      <w:pPr>
        <w:ind w:left="43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2733675</wp:posOffset>
            </wp:positionH>
            <wp:positionV relativeFrom="paragraph">
              <wp:posOffset>220980</wp:posOffset>
            </wp:positionV>
            <wp:extent cx="14471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920"/>
        <w:spacing w:after="0"/>
        <w:rPr>
          <w:sz w:val="20"/>
          <w:szCs w:val="20"/>
          <w:color w:val="auto"/>
        </w:rPr>
      </w:pPr>
      <w:r>
        <w:rPr>
          <w:rFonts w:ascii="Arial" w:cs="Arial" w:eastAsia="Arial" w:hAnsi="Arial"/>
          <w:sz w:val="32"/>
          <w:szCs w:val="32"/>
          <w:b w:val="1"/>
          <w:bCs w:val="1"/>
          <w:color w:val="auto"/>
        </w:rPr>
        <w:t>SCHEDULE 14A</w:t>
      </w:r>
    </w:p>
    <w:p>
      <w:pPr>
        <w:spacing w:after="0" w:line="30" w:lineRule="exact"/>
        <w:rPr>
          <w:sz w:val="24"/>
          <w:szCs w:val="24"/>
          <w:color w:val="auto"/>
        </w:rPr>
      </w:pPr>
    </w:p>
    <w:p>
      <w:pPr>
        <w:ind w:left="4780"/>
        <w:spacing w:after="0"/>
        <w:rPr>
          <w:sz w:val="20"/>
          <w:szCs w:val="20"/>
          <w:color w:val="auto"/>
        </w:rPr>
      </w:pPr>
      <w:r>
        <w:rPr>
          <w:rFonts w:ascii="Arial" w:cs="Arial" w:eastAsia="Arial" w:hAnsi="Arial"/>
          <w:sz w:val="21"/>
          <w:szCs w:val="21"/>
          <w:b w:val="1"/>
          <w:bCs w:val="1"/>
          <w:color w:val="auto"/>
        </w:rPr>
        <w:t>(Rule 14a-101)</w:t>
      </w:r>
    </w:p>
    <w:p>
      <w:pPr>
        <w:spacing w:after="0" w:line="188"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2" w:lineRule="exact"/>
        <w:rPr>
          <w:sz w:val="24"/>
          <w:szCs w:val="24"/>
          <w:color w:val="auto"/>
        </w:rPr>
      </w:pPr>
    </w:p>
    <w:p>
      <w:pPr>
        <w:ind w:left="3840"/>
        <w:spacing w:after="0"/>
        <w:rPr>
          <w:sz w:val="20"/>
          <w:szCs w:val="20"/>
          <w:color w:val="auto"/>
        </w:rPr>
      </w:pPr>
      <w:r>
        <w:rPr>
          <w:rFonts w:ascii="Arial" w:cs="Arial" w:eastAsia="Arial" w:hAnsi="Arial"/>
          <w:sz w:val="21"/>
          <w:szCs w:val="21"/>
          <w:b w:val="1"/>
          <w:bCs w:val="1"/>
          <w:color w:val="auto"/>
        </w:rPr>
        <w:t>SCHEDULE 14A INFORMATION</w:t>
      </w:r>
    </w:p>
    <w:p>
      <w:pPr>
        <w:spacing w:after="0" w:line="188" w:lineRule="exact"/>
        <w:rPr>
          <w:sz w:val="24"/>
          <w:szCs w:val="24"/>
          <w:color w:val="auto"/>
        </w:rPr>
      </w:pPr>
    </w:p>
    <w:p>
      <w:pPr>
        <w:ind w:left="322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ind w:left="3980"/>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2733675</wp:posOffset>
            </wp:positionH>
            <wp:positionV relativeFrom="paragraph">
              <wp:posOffset>229870</wp:posOffset>
            </wp:positionV>
            <wp:extent cx="1447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26"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6" w:lineRule="exact"/>
        <w:rPr>
          <w:rFonts w:ascii="MS PGothic" w:cs="MS PGothic" w:eastAsia="MS PGothic" w:hAnsi="MS PGothic"/>
          <w:sz w:val="18"/>
          <w:szCs w:val="18"/>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9"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3"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2" w:lineRule="exact"/>
        <w:rPr>
          <w:rFonts w:ascii="MS PGothic" w:cs="MS PGothic" w:eastAsia="MS PGothic" w:hAnsi="MS PGothic"/>
          <w:sz w:val="18"/>
          <w:szCs w:val="18"/>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190" w:lineRule="exact"/>
        <w:rPr>
          <w:sz w:val="24"/>
          <w:szCs w:val="24"/>
          <w:color w:val="auto"/>
        </w:rPr>
      </w:pPr>
    </w:p>
    <w:p>
      <w:pPr>
        <w:jc w:val="center"/>
        <w:ind w:right="-920"/>
        <w:spacing w:after="0"/>
        <w:rPr>
          <w:sz w:val="20"/>
          <w:szCs w:val="20"/>
          <w:color w:val="auto"/>
        </w:rPr>
      </w:pPr>
      <w:r>
        <w:rPr>
          <w:rFonts w:ascii="Arial" w:cs="Arial" w:eastAsia="Arial" w:hAnsi="Arial"/>
          <w:sz w:val="41"/>
          <w:szCs w:val="41"/>
          <w:b w:val="1"/>
          <w:bCs w:val="1"/>
          <w:color w:val="auto"/>
        </w:rPr>
        <w:t>Packaging Corporation of America</w:t>
      </w:r>
    </w:p>
    <w:p>
      <w:pPr>
        <w:spacing w:after="0" w:line="6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9"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Registrant</w:t>
      </w:r>
    </w:p>
    <w:p>
      <w:pPr>
        <w:spacing w:after="0" w:line="18"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9" w:lineRule="exact"/>
        <w:rPr>
          <w:sz w:val="24"/>
          <w:szCs w:val="24"/>
          <w:color w:val="auto"/>
        </w:rPr>
      </w:pPr>
    </w:p>
    <w:p>
      <w:pPr>
        <w:ind w:left="560" w:hanging="553"/>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26" w:lineRule="exact"/>
        <w:rPr>
          <w:sz w:val="24"/>
          <w:szCs w:val="24"/>
          <w:color w:val="auto"/>
        </w:rPr>
      </w:pPr>
    </w:p>
    <w:p>
      <w:pPr>
        <w:ind w:left="560" w:hanging="553"/>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26" w:lineRule="exact"/>
        <w:rPr>
          <w:rFonts w:ascii="MS PGothic" w:cs="MS PGothic" w:eastAsia="MS PGothic" w:hAnsi="MS PGothic"/>
          <w:sz w:val="18"/>
          <w:szCs w:val="18"/>
          <w:color w:val="auto"/>
        </w:rPr>
      </w:pPr>
    </w:p>
    <w:p>
      <w:pPr>
        <w:ind w:left="560" w:hanging="553"/>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155575</wp:posOffset>
            </wp:positionV>
            <wp:extent cx="6905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562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198120</wp:posOffset>
            </wp:positionV>
            <wp:extent cx="6905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05625" cy="8255"/>
                    </a:xfrm>
                    <a:prstGeom prst="rect">
                      <a:avLst/>
                    </a:prstGeom>
                    <a:noFill/>
                  </pic:spPr>
                </pic:pic>
              </a:graphicData>
            </a:graphic>
          </wp:anchor>
        </w:drawing>
      </w:r>
    </w:p>
    <w:p>
      <w:pPr>
        <w:sectPr>
          <w:pgSz w:w="11900" w:h="16838" w:orient="portrait"/>
          <w:cols w:equalWidth="0" w:num="1">
            <w:col w:w="9959"/>
          </w:cols>
          <w:pgMar w:left="500" w:top="512"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617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617855"/>
                    </a:xfrm>
                    <a:prstGeom prst="rect">
                      <a:avLst/>
                    </a:prstGeom>
                    <a:noFill/>
                  </pic:spPr>
                </pic:pic>
              </a:graphicData>
            </a:graphic>
          </wp:anchor>
        </w:drawing>
        <w:t>PACKAGING CORPORATION OF AMERICA</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PCA Stockholder:</w:t>
      </w:r>
    </w:p>
    <w:p>
      <w:pPr>
        <w:spacing w:after="0" w:line="219" w:lineRule="exact"/>
        <w:rPr>
          <w:sz w:val="20"/>
          <w:szCs w:val="20"/>
          <w:color w:val="auto"/>
        </w:rPr>
      </w:pPr>
    </w:p>
    <w:p>
      <w:pPr>
        <w:ind w:right="180" w:firstLine="435"/>
        <w:spacing w:after="0" w:line="267" w:lineRule="auto"/>
        <w:rPr>
          <w:sz w:val="20"/>
          <w:szCs w:val="20"/>
          <w:color w:val="auto"/>
        </w:rPr>
      </w:pPr>
      <w:r>
        <w:rPr>
          <w:rFonts w:ascii="Arial" w:cs="Arial" w:eastAsia="Arial" w:hAnsi="Arial"/>
          <w:sz w:val="18"/>
          <w:szCs w:val="18"/>
          <w:color w:val="auto"/>
        </w:rPr>
        <w:t>You are cordially invited to attend the 2022 Annual Meeting of Stockholders to be held at our corporate office, located at 1 N. Field Court, Lake Forest, Illinois, on Tuesday, May 17, 2022 at 8:30 a.m., central time.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Following this page is the formal notice of the meeting and our Proxy Statement. Also enclosed is our 2021 Annual Report to Stockholders.</w:t>
      </w:r>
    </w:p>
    <w:p>
      <w:pPr>
        <w:spacing w:after="0" w:line="231" w:lineRule="exact"/>
        <w:rPr>
          <w:sz w:val="20"/>
          <w:szCs w:val="20"/>
          <w:color w:val="auto"/>
        </w:rPr>
      </w:pPr>
    </w:p>
    <w:p>
      <w:pPr>
        <w:jc w:val="both"/>
        <w:ind w:right="320" w:firstLine="435"/>
        <w:spacing w:after="0" w:line="257" w:lineRule="auto"/>
        <w:rPr>
          <w:sz w:val="20"/>
          <w:szCs w:val="20"/>
          <w:color w:val="auto"/>
        </w:rPr>
      </w:pPr>
      <w:r>
        <w:rPr>
          <w:rFonts w:ascii="Arial" w:cs="Arial" w:eastAsia="Arial" w:hAnsi="Arial"/>
          <w:sz w:val="18"/>
          <w:szCs w:val="18"/>
          <w:color w:val="auto"/>
        </w:rPr>
        <w:t>It is important that your shares are represented at the meeting. You may vote over the Internet or by mailing a proxy or voting instruction card. Whether or not you expect to attend the meeting, please vote your shares by following the voting instructions on your notice of availability of proxy materials or your proxy or voting instruction card.</w:t>
      </w:r>
    </w:p>
    <w:p>
      <w:pPr>
        <w:spacing w:after="0" w:line="2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282575</wp:posOffset>
            </wp:positionV>
            <wp:extent cx="2031365" cy="3384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1365"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Mark W. Kowlzan</w:t>
      </w:r>
    </w:p>
    <w:p>
      <w:pPr>
        <w:spacing w:after="0" w:line="17"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0880"/>
          </w:cols>
          <w:pgMar w:left="500" w:top="1303" w:right="5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617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617855"/>
                    </a:xfrm>
                    <a:prstGeom prst="rect">
                      <a:avLst/>
                    </a:prstGeom>
                    <a:noFill/>
                  </pic:spPr>
                </pic:pic>
              </a:graphicData>
            </a:graphic>
          </wp:anchor>
        </w:drawing>
        <w:t>PACKAGING CORPORATION OF AMERICA</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 N. Field Court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Lake Forest, Illinois 60045</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(847) 482-3000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148590</wp:posOffset>
            </wp:positionV>
            <wp:extent cx="1447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NOTICE OF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2022 ANNUAL MEETING OF STOCKHOLDERS</w:t>
      </w:r>
    </w:p>
    <w:p>
      <w:pPr>
        <w:jc w:val="center"/>
        <w:ind w:right="-19"/>
        <w:spacing w:after="0"/>
        <w:rPr>
          <w:sz w:val="20"/>
          <w:szCs w:val="20"/>
          <w:color w:val="auto"/>
        </w:rPr>
      </w:pPr>
      <w:r>
        <w:rPr>
          <w:rFonts w:ascii="Arial" w:cs="Arial" w:eastAsia="Arial" w:hAnsi="Arial"/>
          <w:sz w:val="21"/>
          <w:szCs w:val="21"/>
          <w:b w:val="1"/>
          <w:bCs w:val="1"/>
          <w:color w:val="auto"/>
        </w:rPr>
        <w:t>May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153670</wp:posOffset>
            </wp:positionV>
            <wp:extent cx="1447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29" w:lineRule="exact"/>
        <w:rPr>
          <w:sz w:val="20"/>
          <w:szCs w:val="20"/>
          <w:color w:val="auto"/>
        </w:rPr>
      </w:pPr>
    </w:p>
    <w:p>
      <w:pPr>
        <w:ind w:right="160" w:firstLine="435"/>
        <w:spacing w:after="0" w:line="267" w:lineRule="auto"/>
        <w:rPr>
          <w:sz w:val="20"/>
          <w:szCs w:val="20"/>
          <w:color w:val="auto"/>
        </w:rPr>
      </w:pPr>
      <w:r>
        <w:rPr>
          <w:rFonts w:ascii="Arial" w:cs="Arial" w:eastAsia="Arial" w:hAnsi="Arial"/>
          <w:sz w:val="18"/>
          <w:szCs w:val="18"/>
          <w:color w:val="auto"/>
        </w:rPr>
        <w:t>The Annual Meeting of Stockholders of Packaging Corporation of America will be held at our corporate office located at 1 N. Field Court, Lake Forest, Illinois, on Tuesday, May 17, 2022, beginning at 8:30 a.m., central time. The purpose of the meeting is to:</w:t>
      </w:r>
    </w:p>
    <w:p>
      <w:pPr>
        <w:spacing w:after="0" w:line="86" w:lineRule="exact"/>
        <w:rPr>
          <w:sz w:val="20"/>
          <w:szCs w:val="20"/>
          <w:color w:val="auto"/>
        </w:rPr>
      </w:pPr>
    </w:p>
    <w:p>
      <w:pPr>
        <w:ind w:left="1400" w:right="560" w:hanging="314"/>
        <w:spacing w:after="0" w:line="267" w:lineRule="auto"/>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the ten nominees for director named in the proxy statement for a one-year term to expire at the 2023 Annual Meeting of Stockholders;</w:t>
      </w:r>
    </w:p>
    <w:p>
      <w:pPr>
        <w:spacing w:after="0" w:line="85" w:lineRule="exact"/>
        <w:rPr>
          <w:rFonts w:ascii="Arial" w:cs="Arial" w:eastAsia="Arial" w:hAnsi="Arial"/>
          <w:sz w:val="18"/>
          <w:szCs w:val="18"/>
          <w:color w:val="auto"/>
        </w:rPr>
      </w:pPr>
    </w:p>
    <w:p>
      <w:pPr>
        <w:ind w:left="1400" w:hanging="31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KPMG LLP as the independent registered public accounting firm to serve as our auditor;</w:t>
      </w:r>
    </w:p>
    <w:p>
      <w:pPr>
        <w:spacing w:after="0" w:line="126" w:lineRule="exact"/>
        <w:rPr>
          <w:rFonts w:ascii="Arial" w:cs="Arial" w:eastAsia="Arial" w:hAnsi="Arial"/>
          <w:sz w:val="18"/>
          <w:szCs w:val="18"/>
          <w:color w:val="auto"/>
        </w:rPr>
      </w:pPr>
    </w:p>
    <w:p>
      <w:pPr>
        <w:ind w:left="1400" w:hanging="31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on a non-binding proposal to approve our executive compensation; and</w:t>
      </w:r>
    </w:p>
    <w:p>
      <w:pPr>
        <w:spacing w:after="0" w:line="126" w:lineRule="exact"/>
        <w:rPr>
          <w:rFonts w:ascii="Arial" w:cs="Arial" w:eastAsia="Arial" w:hAnsi="Arial"/>
          <w:sz w:val="18"/>
          <w:szCs w:val="18"/>
          <w:color w:val="auto"/>
        </w:rPr>
      </w:pPr>
    </w:p>
    <w:p>
      <w:pPr>
        <w:ind w:left="1400" w:hanging="31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 any other matters that properly come before the meeting and any postponement or adjournment thereof.</w:t>
      </w:r>
    </w:p>
    <w:p>
      <w:pPr>
        <w:spacing w:after="0" w:line="219" w:lineRule="exact"/>
        <w:rPr>
          <w:sz w:val="20"/>
          <w:szCs w:val="20"/>
          <w:color w:val="auto"/>
        </w:rPr>
      </w:pPr>
    </w:p>
    <w:p>
      <w:pPr>
        <w:ind w:right="720" w:firstLine="435"/>
        <w:spacing w:after="0" w:line="267" w:lineRule="auto"/>
        <w:rPr>
          <w:sz w:val="20"/>
          <w:szCs w:val="20"/>
          <w:color w:val="auto"/>
        </w:rPr>
      </w:pPr>
      <w:r>
        <w:rPr>
          <w:rFonts w:ascii="Arial" w:cs="Arial" w:eastAsia="Arial" w:hAnsi="Arial"/>
          <w:sz w:val="18"/>
          <w:szCs w:val="18"/>
          <w:color w:val="auto"/>
        </w:rPr>
        <w:t>Only stockholders of record at the close of business on March 21, 2022 are entitled to receive notice of and to vote at the meeting or any postponement or adjournment thereof.</w:t>
      </w:r>
    </w:p>
    <w:p>
      <w:pPr>
        <w:spacing w:after="0" w:line="179" w:lineRule="exact"/>
        <w:rPr>
          <w:sz w:val="20"/>
          <w:szCs w:val="20"/>
          <w:color w:val="auto"/>
        </w:rPr>
      </w:pPr>
    </w:p>
    <w:p>
      <w:pPr>
        <w:ind w:firstLine="435"/>
        <w:spacing w:after="0" w:line="257" w:lineRule="auto"/>
        <w:rPr>
          <w:sz w:val="20"/>
          <w:szCs w:val="20"/>
          <w:color w:val="auto"/>
        </w:rPr>
      </w:pPr>
      <w:r>
        <w:rPr>
          <w:rFonts w:ascii="Arial" w:cs="Arial" w:eastAsia="Arial" w:hAnsi="Arial"/>
          <w:sz w:val="18"/>
          <w:szCs w:val="18"/>
          <w:color w:val="auto"/>
        </w:rPr>
        <w:t>Your vote is important. Whether you plan to attend the meeting or not, you are urged to vote your shares by following the voting instructions on your notice of availability of proxy materials or your proxy or voting instruction card. If you do attend the meeting, you may revoke your proxy and vote in person.</w:t>
      </w:r>
    </w:p>
    <w:p>
      <w:pPr>
        <w:spacing w:after="0" w:line="2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96520</wp:posOffset>
            </wp:positionV>
            <wp:extent cx="1624965" cy="363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4965" cy="36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Kent A. Pflederer</w:t>
      </w:r>
    </w:p>
    <w:p>
      <w:pPr>
        <w:spacing w:after="0" w:line="17"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Corporate Secretary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ectPr>
          <w:pgSz w:w="11900" w:h="16838" w:orient="portrait"/>
          <w:cols w:equalWidth="0" w:num="1">
            <w:col w:w="10860"/>
          </w:cols>
          <w:pgMar w:left="500" w:top="1303" w:right="5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20" w:type="dxa"/>
            <w:vAlign w:val="bottom"/>
            <w:gridSpan w:val="5"/>
          </w:tcPr>
          <w:p>
            <w:pPr>
              <w:ind w:left="70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r>
      <w:tr>
        <w:trPr>
          <w:trHeight w:val="414"/>
        </w:trPr>
        <w:tc>
          <w:tcPr>
            <w:tcW w:w="186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ABOUT THE MEETING</w:t>
              </w:r>
            </w:hyperlink>
          </w:p>
        </w:tc>
        <w:tc>
          <w:tcPr>
            <w:tcW w:w="856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3"/>
        </w:trPr>
        <w:tc>
          <w:tcPr>
            <w:tcW w:w="4740" w:type="dxa"/>
            <w:vAlign w:val="bottom"/>
            <w:tcBorders>
              <w:bottom w:val="single" w:sz="8" w:color="0000EE"/>
            </w:tcBorders>
            <w:gridSpan w:val="11"/>
          </w:tcPr>
          <w:p>
            <w:pPr>
              <w:spacing w:after="0" w:line="194"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ELECTION OF DIRECTORS (ITEM NO. 1 ON PROXY CARD)</w:t>
              </w:r>
            </w:hyperlink>
          </w:p>
        </w:tc>
        <w:tc>
          <w:tcPr>
            <w:tcW w:w="5680" w:type="dxa"/>
            <w:vAlign w:val="bottom"/>
            <w:gridSpan w:val="3"/>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5</w:t>
            </w:r>
          </w:p>
        </w:tc>
      </w:tr>
      <w:tr>
        <w:trPr>
          <w:trHeight w:val="193"/>
        </w:trPr>
        <w:tc>
          <w:tcPr>
            <w:tcW w:w="10420" w:type="dxa"/>
            <w:vAlign w:val="bottom"/>
            <w:gridSpan w:val="14"/>
          </w:tcPr>
          <w:p>
            <w:pPr>
              <w:spacing w:after="0" w:line="194"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RATIFICATION OF APPOINTMENT OF THE INDEPENDENT REGISTERED PUBLIC ACCOUNTING FIRM (ITEM NO. 2 ON PROXY</w:t>
              </w:r>
            </w:hyperlink>
          </w:p>
        </w:tc>
        <w:tc>
          <w:tcPr>
            <w:tcW w:w="400" w:type="dxa"/>
            <w:vAlign w:val="bottom"/>
          </w:tcPr>
          <w:p>
            <w:pPr>
              <w:spacing w:after="0"/>
              <w:rPr>
                <w:sz w:val="16"/>
                <w:szCs w:val="16"/>
                <w:color w:val="auto"/>
              </w:rPr>
            </w:pPr>
          </w:p>
        </w:tc>
      </w:tr>
      <w:tr>
        <w:trPr>
          <w:trHeight w:val="193"/>
        </w:trPr>
        <w:tc>
          <w:tcPr>
            <w:tcW w:w="180" w:type="dxa"/>
            <w:vAlign w:val="bottom"/>
            <w:tcBorders>
              <w:top w:val="single" w:sz="8" w:color="0000EE"/>
            </w:tcBorders>
          </w:tcPr>
          <w:p>
            <w:pPr>
              <w:spacing w:after="0"/>
              <w:rPr>
                <w:sz w:val="16"/>
                <w:szCs w:val="16"/>
                <w:color w:val="auto"/>
              </w:rPr>
            </w:pPr>
          </w:p>
        </w:tc>
        <w:tc>
          <w:tcPr>
            <w:tcW w:w="5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CARD)</w:t>
              </w:r>
            </w:hyperlink>
          </w:p>
        </w:tc>
        <w:tc>
          <w:tcPr>
            <w:tcW w:w="9440" w:type="dxa"/>
            <w:vAlign w:val="bottom"/>
            <w:tcBorders>
              <w:top w:val="single" w:sz="8" w:color="0000EE"/>
            </w:tcBorders>
            <w:gridSpan w:val="11"/>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14</w:t>
            </w:r>
          </w:p>
        </w:tc>
      </w:tr>
      <w:tr>
        <w:trPr>
          <w:trHeight w:val="193"/>
        </w:trPr>
        <w:tc>
          <w:tcPr>
            <w:tcW w:w="6240" w:type="dxa"/>
            <w:vAlign w:val="bottom"/>
            <w:tcBorders>
              <w:bottom w:val="single" w:sz="8" w:color="0000EE"/>
            </w:tcBorders>
            <w:gridSpan w:val="12"/>
          </w:tcPr>
          <w:p>
            <w:pPr>
              <w:spacing w:after="0" w:line="194"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PROPOSAL ON EXECUTIVE COMPENSATION (ITEM NO. 3 ON PROXY CARD)</w:t>
              </w:r>
            </w:hyperlink>
          </w:p>
        </w:tc>
        <w:tc>
          <w:tcPr>
            <w:tcW w:w="4180" w:type="dxa"/>
            <w:vAlign w:val="bottom"/>
            <w:gridSpan w:val="2"/>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16</w:t>
            </w:r>
          </w:p>
        </w:tc>
      </w:tr>
      <w:tr>
        <w:trPr>
          <w:trHeight w:val="193"/>
        </w:trPr>
        <w:tc>
          <w:tcPr>
            <w:tcW w:w="10420" w:type="dxa"/>
            <w:vAlign w:val="bottom"/>
            <w:gridSpan w:val="14"/>
          </w:tcPr>
          <w:p>
            <w:pPr>
              <w:spacing w:after="0" w:line="194"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17</w:t>
            </w:r>
          </w:p>
        </w:tc>
      </w:tr>
      <w:tr>
        <w:trPr>
          <w:trHeight w:val="193"/>
        </w:trPr>
        <w:tc>
          <w:tcPr>
            <w:tcW w:w="320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93"/>
              </w:rPr>
            </w:pPr>
            <w:hyperlink w:anchor="page32">
              <w:r>
                <w:rPr>
                  <w:rFonts w:ascii="Arial" w:cs="Arial" w:eastAsia="Arial" w:hAnsi="Arial"/>
                  <w:sz w:val="18"/>
                  <w:szCs w:val="18"/>
                  <w:color w:val="0000EE"/>
                  <w:w w:val="93"/>
                </w:rPr>
                <w:t>COMPENSATION COMMITTEE REPORT</w:t>
              </w:r>
            </w:hyperlink>
          </w:p>
        </w:tc>
        <w:tc>
          <w:tcPr>
            <w:tcW w:w="600" w:type="dxa"/>
            <w:vAlign w:val="bottom"/>
            <w:tcBorders>
              <w:top w:val="single" w:sz="8" w:color="0000EE"/>
            </w:tcBorders>
            <w:gridSpan w:val="3"/>
          </w:tcPr>
          <w:p>
            <w:pPr>
              <w:spacing w:after="0"/>
              <w:rPr>
                <w:sz w:val="16"/>
                <w:szCs w:val="16"/>
                <w:color w:val="auto"/>
              </w:rPr>
            </w:pPr>
          </w:p>
        </w:tc>
        <w:tc>
          <w:tcPr>
            <w:tcW w:w="6620" w:type="dxa"/>
            <w:vAlign w:val="bottom"/>
            <w:gridSpan w:val="5"/>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28</w:t>
            </w:r>
          </w:p>
        </w:tc>
      </w:tr>
      <w:tr>
        <w:trPr>
          <w:trHeight w:val="193"/>
        </w:trPr>
        <w:tc>
          <w:tcPr>
            <w:tcW w:w="4560" w:type="dxa"/>
            <w:vAlign w:val="bottom"/>
            <w:tcBorders>
              <w:bottom w:val="single" w:sz="8" w:color="0000EE"/>
            </w:tcBorders>
            <w:gridSpan w:val="10"/>
          </w:tcPr>
          <w:p>
            <w:pPr>
              <w:spacing w:after="0" w:line="194"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EXECUTIVE OFFICER AND DIRECTOR COMPENSATION</w:t>
              </w:r>
            </w:hyperlink>
          </w:p>
        </w:tc>
        <w:tc>
          <w:tcPr>
            <w:tcW w:w="5860" w:type="dxa"/>
            <w:vAlign w:val="bottom"/>
            <w:gridSpan w:val="4"/>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28</w:t>
            </w:r>
          </w:p>
        </w:tc>
      </w:tr>
      <w:tr>
        <w:trPr>
          <w:trHeight w:val="193"/>
        </w:trPr>
        <w:tc>
          <w:tcPr>
            <w:tcW w:w="10420" w:type="dxa"/>
            <w:vAlign w:val="bottom"/>
            <w:gridSpan w:val="14"/>
          </w:tcPr>
          <w:p>
            <w:pPr>
              <w:spacing w:after="0" w:line="194" w:lineRule="exact"/>
              <w:rPr>
                <w:rFonts w:ascii="Arial" w:cs="Arial" w:eastAsia="Arial" w:hAnsi="Arial"/>
                <w:sz w:val="18"/>
                <w:szCs w:val="18"/>
                <w:color w:val="0000EE"/>
              </w:rPr>
            </w:pPr>
            <w:hyperlink w:anchor="page42">
              <w:r>
                <w:rPr>
                  <w:rFonts w:ascii="Arial" w:cs="Arial" w:eastAsia="Arial" w:hAnsi="Arial"/>
                  <w:sz w:val="18"/>
                  <w:szCs w:val="18"/>
                  <w:color w:val="0000EE"/>
                </w:rPr>
                <w:t>CHIEF EXECUTIVE OFFICER PAY RATIO</w:t>
              </w:r>
            </w:hyperlink>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38</w:t>
            </w:r>
          </w:p>
        </w:tc>
      </w:tr>
      <w:tr>
        <w:trPr>
          <w:trHeight w:val="193"/>
        </w:trPr>
        <w:tc>
          <w:tcPr>
            <w:tcW w:w="236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OWNERSHIP OF OUR STOCK</w:t>
              </w:r>
            </w:hyperlink>
          </w:p>
        </w:tc>
        <w:tc>
          <w:tcPr>
            <w:tcW w:w="900" w:type="dxa"/>
            <w:vAlign w:val="bottom"/>
            <w:tcBorders>
              <w:top w:val="single" w:sz="8" w:color="0000EE"/>
            </w:tcBorders>
            <w:gridSpan w:val="3"/>
          </w:tcPr>
          <w:p>
            <w:pPr>
              <w:spacing w:after="0"/>
              <w:rPr>
                <w:sz w:val="16"/>
                <w:szCs w:val="16"/>
                <w:color w:val="auto"/>
              </w:rPr>
            </w:pPr>
          </w:p>
        </w:tc>
        <w:tc>
          <w:tcPr>
            <w:tcW w:w="7160" w:type="dxa"/>
            <w:vAlign w:val="bottom"/>
            <w:gridSpan w:val="7"/>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39</w:t>
            </w:r>
          </w:p>
        </w:tc>
      </w:tr>
      <w:tr>
        <w:trPr>
          <w:trHeight w:val="193"/>
        </w:trPr>
        <w:tc>
          <w:tcPr>
            <w:tcW w:w="10420" w:type="dxa"/>
            <w:vAlign w:val="bottom"/>
            <w:gridSpan w:val="14"/>
          </w:tcPr>
          <w:p>
            <w:pPr>
              <w:spacing w:after="0" w:line="194" w:lineRule="exact"/>
              <w:rPr>
                <w:rFonts w:ascii="Arial" w:cs="Arial" w:eastAsia="Arial" w:hAnsi="Arial"/>
                <w:sz w:val="18"/>
                <w:szCs w:val="18"/>
                <w:color w:val="0000EE"/>
              </w:rPr>
            </w:pPr>
            <w:hyperlink w:anchor="page44">
              <w:r>
                <w:rPr>
                  <w:rFonts w:ascii="Arial" w:cs="Arial" w:eastAsia="Arial" w:hAnsi="Arial"/>
                  <w:sz w:val="18"/>
                  <w:szCs w:val="18"/>
                  <w:color w:val="0000EE"/>
                </w:rPr>
                <w:t>TRANSACTIONS WITH RELATED PERSONS</w:t>
              </w:r>
            </w:hyperlink>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40</w:t>
            </w:r>
          </w:p>
        </w:tc>
      </w:tr>
      <w:tr>
        <w:trPr>
          <w:trHeight w:val="193"/>
        </w:trPr>
        <w:tc>
          <w:tcPr>
            <w:tcW w:w="3520" w:type="dxa"/>
            <w:vAlign w:val="bottom"/>
            <w:tcBorders>
              <w:top w:val="single" w:sz="8" w:color="0000EE"/>
            </w:tcBorders>
            <w:gridSpan w:val="8"/>
          </w:tcPr>
          <w:p>
            <w:pPr>
              <w:spacing w:after="0" w:line="194" w:lineRule="exact"/>
              <w:rPr>
                <w:rFonts w:ascii="Arial" w:cs="Arial" w:eastAsia="Arial" w:hAnsi="Arial"/>
                <w:sz w:val="18"/>
                <w:szCs w:val="18"/>
                <w:color w:val="0000EE"/>
              </w:rPr>
            </w:pPr>
            <w:hyperlink w:anchor="page45">
              <w:r>
                <w:rPr>
                  <w:rFonts w:ascii="Arial" w:cs="Arial" w:eastAsia="Arial" w:hAnsi="Arial"/>
                  <w:sz w:val="18"/>
                  <w:szCs w:val="18"/>
                  <w:color w:val="0000EE"/>
                </w:rPr>
                <w:t>DELINQUENT SECTION 16(a) REPORTS</w:t>
              </w:r>
            </w:hyperlink>
          </w:p>
        </w:tc>
        <w:tc>
          <w:tcPr>
            <w:tcW w:w="6900" w:type="dxa"/>
            <w:vAlign w:val="bottom"/>
            <w:gridSpan w:val="6"/>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41</w:t>
            </w:r>
          </w:p>
        </w:tc>
      </w:tr>
      <w:tr>
        <w:trPr>
          <w:trHeight w:val="193"/>
        </w:trPr>
        <w:tc>
          <w:tcPr>
            <w:tcW w:w="316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7260" w:type="dxa"/>
            <w:vAlign w:val="bottom"/>
            <w:gridSpan w:val="9"/>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Arial" w:cs="Arial" w:eastAsia="Arial" w:hAnsi="Arial"/>
                <w:sz w:val="18"/>
                <w:szCs w:val="18"/>
                <w:color w:val="auto"/>
              </w:rPr>
              <w:t>41</w:t>
            </w:r>
          </w:p>
        </w:tc>
      </w:tr>
      <w:tr>
        <w:trPr>
          <w:trHeight w:val="20"/>
        </w:trPr>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820"/>
          </w:cols>
          <w:pgMar w:left="500" w:top="268" w:right="57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4" w:name="page5"/>
    <w:bookmarkEnd w:id="4"/>
    <w:p>
      <w:pPr>
        <w:jc w:val="center"/>
        <w:ind w:right="-2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617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617855"/>
                    </a:xfrm>
                    <a:prstGeom prst="rect">
                      <a:avLst/>
                    </a:prstGeom>
                    <a:noFill/>
                  </pic:spPr>
                </pic:pic>
              </a:graphicData>
            </a:graphic>
          </wp:anchor>
        </w:drawing>
        <w:t>PACKAGING CORPORATION OF AMERICA</w:t>
      </w:r>
    </w:p>
    <w:p>
      <w:pPr>
        <w:spacing w:after="0" w:line="3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 N. Field Court</w:t>
      </w:r>
    </w:p>
    <w:p>
      <w:pPr>
        <w:spacing w:after="0" w:line="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Lake Forest, Illinois 60045</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(847) 482-3000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156845</wp:posOffset>
            </wp:positionV>
            <wp:extent cx="1447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160020</wp:posOffset>
            </wp:positionV>
            <wp:extent cx="1447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340" w:lineRule="exact"/>
        <w:rPr>
          <w:sz w:val="20"/>
          <w:szCs w:val="20"/>
          <w:color w:val="auto"/>
        </w:rPr>
      </w:pPr>
    </w:p>
    <w:p>
      <w:pPr>
        <w:ind w:firstLine="435"/>
        <w:spacing w:after="0" w:line="273" w:lineRule="auto"/>
        <w:rPr>
          <w:sz w:val="20"/>
          <w:szCs w:val="20"/>
          <w:color w:val="auto"/>
        </w:rPr>
      </w:pPr>
      <w:r>
        <w:rPr>
          <w:rFonts w:ascii="Arial" w:cs="Arial" w:eastAsia="Arial" w:hAnsi="Arial"/>
          <w:sz w:val="17"/>
          <w:szCs w:val="17"/>
          <w:color w:val="auto"/>
        </w:rPr>
        <w:t>This proxy statement contains information related to our 2022 Annual Meeting of Stockholders to be held on May 17, 2022 at 8:30 a.m., central time, at our corporate office located at 1 N. Field Court, Lake Forest, Illinois, or at such other time and place to which the annual meeting may be adjourned or postponed. The enclosed proxy is solicited by our board of directors. The proxy materials relating to the annual meeting are first being mailed on or about March 25, 2022 to stockholders entitled to vote at the meeting.</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the annual meeting, stockholders will act upon the matters outlined in the accompanying notice of meeting, including the following:</w:t>
      </w:r>
    </w:p>
    <w:p>
      <w:pPr>
        <w:spacing w:after="0" w:line="138" w:lineRule="exact"/>
        <w:rPr>
          <w:sz w:val="20"/>
          <w:szCs w:val="20"/>
          <w:color w:val="auto"/>
        </w:rPr>
      </w:pPr>
    </w:p>
    <w:p>
      <w:pPr>
        <w:ind w:left="960" w:hanging="42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electing our board of directors for a one-year term to expire at the 2023 Annual Meeting of Stockholders (Item 1);</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ratifying the appointment of KPMG LLP as the independent registered public accounting firm to serve as our auditors (Item 2); and</w:t>
      </w:r>
    </w:p>
    <w:p>
      <w:pPr>
        <w:spacing w:after="0" w:line="149" w:lineRule="exact"/>
        <w:rPr>
          <w:rFonts w:ascii="Arial" w:cs="Arial" w:eastAsia="Arial" w:hAnsi="Arial"/>
          <w:sz w:val="16"/>
          <w:szCs w:val="16"/>
          <w:color w:val="auto"/>
        </w:rPr>
      </w:pPr>
    </w:p>
    <w:p>
      <w:pPr>
        <w:ind w:left="960" w:hanging="420"/>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on a non-binding proposal to approve our executive compensation (Item 3).</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The board of directors recommends that you vote your shares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the director nominees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the other items.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119"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Only stockholders of record at the close of business on the record date, March 21, 2022, are entitled to receive notice of the annual meeting of stockholders and to vote their shares of our common stock that they held on that date at the meeting, or any postponement or adjournment of the meeting. Except as otherwise required by law, holders of our common stock are entitled to one vote per share on each matter to be voted upon at the meeting.</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28, 2022, we had 93,703,815 shares of our common stock outstanding.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attend the meeting?</w:t>
      </w:r>
    </w:p>
    <w:p>
      <w:pPr>
        <w:spacing w:after="0" w:line="119" w:lineRule="exact"/>
        <w:rPr>
          <w:sz w:val="20"/>
          <w:szCs w:val="20"/>
          <w:color w:val="auto"/>
        </w:rPr>
      </w:pPr>
    </w:p>
    <w:p>
      <w:pPr>
        <w:ind w:right="340" w:firstLine="435"/>
        <w:spacing w:after="0" w:line="279" w:lineRule="auto"/>
        <w:rPr>
          <w:sz w:val="20"/>
          <w:szCs w:val="20"/>
          <w:color w:val="auto"/>
        </w:rPr>
      </w:pPr>
      <w:r>
        <w:rPr>
          <w:rFonts w:ascii="Arial" w:cs="Arial" w:eastAsia="Arial" w:hAnsi="Arial"/>
          <w:sz w:val="17"/>
          <w:szCs w:val="17"/>
          <w:color w:val="auto"/>
        </w:rPr>
        <w:t>All stockholders as of the record date, or their duly appointed proxies, may attend the meeting upon presentation of proper identification. Registration and seating will begin at 8:00 a.m., central time. Cameras, recording devices and other electronic devices will not be permitted at the meeting. You may obtain directions to the meeting place by calling our corporate offices at (847) 482-3000.</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80"/>
          </w:cols>
          <w:pgMar w:left="500" w:top="1263" w:right="719" w:bottom="1440" w:gutter="0" w:footer="0" w:header="0"/>
        </w:sectPr>
      </w:pPr>
    </w:p>
    <w:bookmarkStart w:id="5" w:name="page6"/>
    <w:bookmarkEnd w:id="5"/>
    <w:p>
      <w:pPr>
        <w:ind w:right="40" w:firstLine="435"/>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Please note that if you hold your shares in “street name” (that is, through a broker or other nominee), you will need to bring a copy of your voting instruction card or a brokerage statement reflecting your stock ownership as of the record date and check in at the registration desk at the meeting.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119" w:lineRule="exact"/>
        <w:rPr>
          <w:sz w:val="20"/>
          <w:szCs w:val="20"/>
          <w:color w:val="auto"/>
        </w:rPr>
      </w:pPr>
    </w:p>
    <w:p>
      <w:pPr>
        <w:ind w:right="40" w:firstLine="435"/>
        <w:spacing w:after="0" w:line="250" w:lineRule="auto"/>
        <w:rPr>
          <w:sz w:val="20"/>
          <w:szCs w:val="20"/>
          <w:color w:val="auto"/>
        </w:rPr>
      </w:pPr>
      <w:r>
        <w:rPr>
          <w:rFonts w:ascii="Arial" w:cs="Arial" w:eastAsia="Arial" w:hAnsi="Arial"/>
          <w:sz w:val="18"/>
          <w:szCs w:val="18"/>
          <w:color w:val="auto"/>
        </w:rPr>
        <w:t>A quorum is necessary to hold a valid meeting. The presence at the meeting, in person or by proxy, of the holders of a majority of our outstanding common stock on the record date will constitute a quorum for our meeting. Broker non-votes and proxies received but marked as abstentions will be included as present for purposes of establishing a quorum. A broker non-vote occurs when a nominee holding shares for a beneficial owner does not vote on a particular proposal because the nominee does not have discretionary voting power for the particular matter and has not received voting instructions from the beneficial owner. We expect that nominees will not have discretionary authority for Items 1 (Election of Directors) and 3 (Approval of Executive Compensation) and will have discretionary authority for Item 2 (Ratification of Independent Registered Public Accounting Firm).</w:t>
      </w:r>
    </w:p>
    <w:p>
      <w:pPr>
        <w:spacing w:after="0" w:line="197" w:lineRule="exact"/>
        <w:rPr>
          <w:sz w:val="20"/>
          <w:szCs w:val="20"/>
          <w:color w:val="auto"/>
        </w:rPr>
      </w:pPr>
    </w:p>
    <w:p>
      <w:pPr>
        <w:ind w:firstLine="435"/>
        <w:spacing w:after="0" w:line="257" w:lineRule="auto"/>
        <w:rPr>
          <w:sz w:val="20"/>
          <w:szCs w:val="20"/>
          <w:color w:val="auto"/>
        </w:rPr>
      </w:pPr>
      <w:r>
        <w:rPr>
          <w:rFonts w:ascii="Arial" w:cs="Arial" w:eastAsia="Arial" w:hAnsi="Arial"/>
          <w:sz w:val="18"/>
          <w:szCs w:val="18"/>
          <w:color w:val="auto"/>
        </w:rPr>
        <w:t>If a quorum is not present at the annual meeting, the stockholders present may adjourn the annual meeting from time to time, without notice, other than by announcement at the meeting, until a quorum is present or represented. At any such adjourned meeting at which a quorum is present or represented, any business may be transacted that might have been transacted at the original meeting.</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notice in the mail regarding the Internet availability of proxy materials instead of a full set of proxy materials?</w:t>
      </w:r>
    </w:p>
    <w:p>
      <w:pPr>
        <w:spacing w:after="0" w:line="130" w:lineRule="exact"/>
        <w:rPr>
          <w:sz w:val="20"/>
          <w:szCs w:val="20"/>
          <w:color w:val="auto"/>
        </w:rPr>
      </w:pPr>
    </w:p>
    <w:p>
      <w:pPr>
        <w:ind w:right="20" w:firstLine="435"/>
        <w:spacing w:after="0" w:line="253" w:lineRule="auto"/>
        <w:rPr>
          <w:sz w:val="20"/>
          <w:szCs w:val="20"/>
          <w:color w:val="auto"/>
        </w:rPr>
      </w:pPr>
      <w:r>
        <w:rPr>
          <w:rFonts w:ascii="Arial" w:cs="Arial" w:eastAsia="Arial" w:hAnsi="Arial"/>
          <w:sz w:val="18"/>
          <w:szCs w:val="18"/>
          <w:color w:val="auto"/>
        </w:rPr>
        <w:t>The Securities and Exchange Commission (SEC) permits us to furnish proxy materials by providing access to those documents on the Internet. Stockholders will not receive printed copies of the proxy materials unless they request them. The notice instructs you as to how to submit your proxy on the Internet. If you would like to receive a paper or email copy of the proxy materials, you should follow the instructions in the notice for requesting those materials.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if shares are held in my name?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shares of our common stock are held in your name, you may vote on matters to come before the meeting in two ways:</w:t>
      </w:r>
    </w:p>
    <w:p>
      <w:pPr>
        <w:spacing w:after="0" w:line="126" w:lineRule="exact"/>
        <w:rPr>
          <w:sz w:val="20"/>
          <w:szCs w:val="20"/>
          <w:color w:val="auto"/>
        </w:rPr>
      </w:pPr>
    </w:p>
    <w:p>
      <w:pPr>
        <w:ind w:left="960" w:hanging="42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completing, dating and signing your proxy card and returning it in the enclosed postage-paid envelope;</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online by following the instructions on your notice of availability of proxy materials, proxy or voting instruction card; or</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219" w:lineRule="exact"/>
        <w:rPr>
          <w:sz w:val="20"/>
          <w:szCs w:val="20"/>
          <w:color w:val="auto"/>
        </w:rPr>
      </w:pPr>
    </w:p>
    <w:p>
      <w:pPr>
        <w:jc w:val="both"/>
        <w:ind w:right="140" w:firstLine="435"/>
        <w:spacing w:after="0" w:line="273" w:lineRule="auto"/>
        <w:rPr>
          <w:sz w:val="20"/>
          <w:szCs w:val="20"/>
          <w:color w:val="auto"/>
        </w:rPr>
      </w:pPr>
      <w:r>
        <w:rPr>
          <w:rFonts w:ascii="Arial" w:cs="Arial" w:eastAsia="Arial" w:hAnsi="Arial"/>
          <w:sz w:val="17"/>
          <w:szCs w:val="17"/>
          <w:color w:val="auto"/>
        </w:rPr>
        <w:t xml:space="preserve">Your shares will be voted as you indicate. If you return a proxy card but you do not indicate your voting preferences, then the proxies named on the proxy card will vote your shares </w:t>
      </w:r>
      <w:r>
        <w:rPr>
          <w:rFonts w:ascii="Arial" w:cs="Arial" w:eastAsia="Arial" w:hAnsi="Arial"/>
          <w:sz w:val="17"/>
          <w:szCs w:val="17"/>
          <w:b w:val="1"/>
          <w:bCs w:val="1"/>
          <w:i w:val="1"/>
          <w:iCs w:val="1"/>
          <w:color w:val="auto"/>
        </w:rPr>
        <w:t>for</w:t>
      </w:r>
      <w:r>
        <w:rPr>
          <w:rFonts w:ascii="Arial" w:cs="Arial" w:eastAsia="Arial" w:hAnsi="Arial"/>
          <w:sz w:val="17"/>
          <w:szCs w:val="17"/>
          <w:color w:val="auto"/>
        </w:rPr>
        <w:t xml:space="preserve"> all of the directors nominated, and </w:t>
      </w:r>
      <w:r>
        <w:rPr>
          <w:rFonts w:ascii="Arial" w:cs="Arial" w:eastAsia="Arial" w:hAnsi="Arial"/>
          <w:sz w:val="17"/>
          <w:szCs w:val="17"/>
          <w:b w:val="1"/>
          <w:bCs w:val="1"/>
          <w:i w:val="1"/>
          <w:iCs w:val="1"/>
          <w:color w:val="auto"/>
        </w:rPr>
        <w:t>for</w:t>
      </w:r>
      <w:r>
        <w:rPr>
          <w:rFonts w:ascii="Arial" w:cs="Arial" w:eastAsia="Arial" w:hAnsi="Arial"/>
          <w:sz w:val="17"/>
          <w:szCs w:val="17"/>
          <w:color w:val="auto"/>
        </w:rPr>
        <w:t xml:space="preserve"> approval of the other items before the meeting. Should any other matter requiring a vote of stockholders arise, the stockholders confer upon the proxies discretionary authority to vote the shares represented by such proxy on any such other matter in accordance with their best judgment. All of the proxies are our officers.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if I hold my shares through a broker, bank or other nominee?</w:t>
      </w:r>
    </w:p>
    <w:p>
      <w:pPr>
        <w:spacing w:after="0" w:line="119" w:lineRule="exact"/>
        <w:rPr>
          <w:sz w:val="20"/>
          <w:szCs w:val="20"/>
          <w:color w:val="auto"/>
        </w:rPr>
      </w:pPr>
    </w:p>
    <w:p>
      <w:pPr>
        <w:ind w:right="40" w:firstLine="435"/>
        <w:spacing w:after="0" w:line="304" w:lineRule="auto"/>
        <w:rPr>
          <w:sz w:val="20"/>
          <w:szCs w:val="20"/>
          <w:color w:val="auto"/>
        </w:rPr>
      </w:pPr>
      <w:r>
        <w:rPr>
          <w:rFonts w:ascii="Arial" w:cs="Arial" w:eastAsia="Arial" w:hAnsi="Arial"/>
          <w:sz w:val="16"/>
          <w:szCs w:val="16"/>
          <w:color w:val="auto"/>
        </w:rPr>
        <w:t>Stockholders whose shares of our common stock are held in street name must either direct the record holder of their shares as to how to vote their shares of our common stock or obtain a proxy from the record holder to vote at the meeting. These stockholders should check the voting instruction cards used by their brokers or nominees for specific instructions on methods of voting, including by telephone or using the Internet.</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500" w:top="274"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How do I vote shares I hold in the 401(k) plan?</w:t>
      </w:r>
    </w:p>
    <w:p>
      <w:pPr>
        <w:spacing w:after="0" w:line="119" w:lineRule="exact"/>
        <w:rPr>
          <w:sz w:val="20"/>
          <w:szCs w:val="20"/>
          <w:color w:val="auto"/>
        </w:rPr>
      </w:pPr>
    </w:p>
    <w:p>
      <w:pPr>
        <w:ind w:right="360" w:firstLine="435"/>
        <w:spacing w:after="0" w:line="253" w:lineRule="auto"/>
        <w:rPr>
          <w:sz w:val="20"/>
          <w:szCs w:val="20"/>
          <w:color w:val="auto"/>
        </w:rPr>
      </w:pPr>
      <w:r>
        <w:rPr>
          <w:rFonts w:ascii="Arial" w:cs="Arial" w:eastAsia="Arial" w:hAnsi="Arial"/>
          <w:sz w:val="18"/>
          <w:szCs w:val="18"/>
          <w:color w:val="auto"/>
        </w:rPr>
        <w:t>If you are one of our employees who holds common stock through the PCA Employee Stock Ownership Plan (which holds the PCA common stock in the Packaging Corporation of America Retirement Savings Plan for</w:t>
      </w:r>
    </w:p>
    <w:p>
      <w:pPr>
        <w:spacing w:after="0" w:line="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Salaried Employees and the PCA Common Stock Fund in the Packaging Corporation of America Thrift Plan for Hourly Employees), you will receive from the plan trustee a request for voting instructions with respect to the shares of our common stock representing your proportionate interest in the plans. You are entitled to direct the plan trustee how to vote your proportionate interest of shares in those plans.</w:t>
      </w:r>
    </w:p>
    <w:p>
      <w:pPr>
        <w:spacing w:after="0" w:line="177" w:lineRule="exact"/>
        <w:rPr>
          <w:sz w:val="20"/>
          <w:szCs w:val="20"/>
          <w:color w:val="auto"/>
        </w:rPr>
      </w:pPr>
    </w:p>
    <w:p>
      <w:pPr>
        <w:jc w:val="both"/>
        <w:ind w:firstLine="435"/>
        <w:spacing w:after="0" w:line="257" w:lineRule="auto"/>
        <w:rPr>
          <w:sz w:val="20"/>
          <w:szCs w:val="20"/>
          <w:color w:val="auto"/>
        </w:rPr>
      </w:pPr>
      <w:r>
        <w:rPr>
          <w:rFonts w:ascii="Arial" w:cs="Arial" w:eastAsia="Arial" w:hAnsi="Arial"/>
          <w:sz w:val="18"/>
          <w:szCs w:val="18"/>
          <w:color w:val="auto"/>
        </w:rPr>
        <w:t>Greatbanc Trust Company (“GTC”) has the responsibility for monitoring the continued investment of PCA common stock held in the plans. GTC is an investment advisor under the Investment Advisors Act of 1940. If you do not elect to vote the proportionate interest of shares you hold in the plans, those shares will be voted by GTC, in its discretion.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change my vote?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your shares are held in your name, you may revoke your proxy at any time before it is exercised by:</w:t>
      </w:r>
    </w:p>
    <w:p>
      <w:pPr>
        <w:spacing w:after="0" w:line="126" w:lineRule="exact"/>
        <w:rPr>
          <w:sz w:val="20"/>
          <w:szCs w:val="20"/>
          <w:color w:val="auto"/>
        </w:rPr>
      </w:pPr>
    </w:p>
    <w:p>
      <w:pPr>
        <w:ind w:left="960" w:hanging="42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a written notice of revocation with our corporate secretary;</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again over the Internet;</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signing and delivering another proxy bearing a later date; or</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meeting and casting your vote in person.</w:t>
      </w:r>
    </w:p>
    <w:p>
      <w:pPr>
        <w:spacing w:after="0" w:line="219" w:lineRule="exact"/>
        <w:rPr>
          <w:sz w:val="20"/>
          <w:szCs w:val="20"/>
          <w:color w:val="auto"/>
        </w:rPr>
      </w:pPr>
    </w:p>
    <w:p>
      <w:pPr>
        <w:ind w:firstLine="435"/>
        <w:spacing w:after="0" w:line="267" w:lineRule="auto"/>
        <w:rPr>
          <w:sz w:val="20"/>
          <w:szCs w:val="20"/>
          <w:color w:val="auto"/>
        </w:rPr>
      </w:pPr>
      <w:r>
        <w:rPr>
          <w:rFonts w:ascii="Arial" w:cs="Arial" w:eastAsia="Arial" w:hAnsi="Arial"/>
          <w:sz w:val="18"/>
          <w:szCs w:val="18"/>
          <w:color w:val="auto"/>
        </w:rPr>
        <w:t>If your shares are held in street name, you must contact your broker or nominee to revoke your proxy. In either case, your last vote will be the vote that is counted.</w:t>
      </w:r>
    </w:p>
    <w:p>
      <w:pPr>
        <w:spacing w:after="0" w:line="179" w:lineRule="exact"/>
        <w:rPr>
          <w:sz w:val="20"/>
          <w:szCs w:val="20"/>
          <w:color w:val="auto"/>
        </w:rPr>
      </w:pPr>
    </w:p>
    <w:p>
      <w:pPr>
        <w:ind w:right="60" w:firstLine="435"/>
        <w:spacing w:after="0" w:line="304" w:lineRule="auto"/>
        <w:rPr>
          <w:sz w:val="20"/>
          <w:szCs w:val="20"/>
          <w:color w:val="auto"/>
        </w:rPr>
      </w:pPr>
      <w:r>
        <w:rPr>
          <w:rFonts w:ascii="Arial" w:cs="Arial" w:eastAsia="Arial" w:hAnsi="Arial"/>
          <w:sz w:val="16"/>
          <w:szCs w:val="16"/>
          <w:color w:val="auto"/>
        </w:rPr>
        <w:t>If your shares are held in the 401(k) plans, you may revoke your previously given voting instructions by filing with Computershare Trust Company, N.A., the tabulator of votes and our transfer agent, either a written notice of revocation or a properly completed and signed voting instruction card bearing a later date. Computershare must receive the notice of revocation or the voting instruction card no later than May 13, 2022.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w:t>
      </w:r>
    </w:p>
    <w:p>
      <w:pPr>
        <w:spacing w:after="0" w:line="119"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The election of directors at the 2022 annual meeting will be an uncontested election. A “majority of the vote”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and entitled to vote at the meeting is required for the election of each director (Item 1). Pursuant to our bylaws, a “majority of the vote” is achieved in an uncontested director election if a director receives more votes “for” than “against” his or her election, with abstentions and broker non-votes disregarded.</w:t>
      </w:r>
    </w:p>
    <w:p>
      <w:pPr>
        <w:spacing w:after="0" w:line="193" w:lineRule="exact"/>
        <w:rPr>
          <w:sz w:val="20"/>
          <w:szCs w:val="20"/>
          <w:color w:val="auto"/>
        </w:rPr>
      </w:pPr>
    </w:p>
    <w:p>
      <w:pPr>
        <w:ind w:right="140" w:firstLine="435"/>
        <w:spacing w:after="0" w:line="252"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affirmative vote of the majority of the votes present in person or represented by proxy and entitled to vote at the meeting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approve the matters in Items 2 and 3. If a stockholder abstains from voting or directs the stockholder’s proxy to abstain from voting on the matters, the shares are considered present at the meeting for such matters, but since they are not affirmative votes for the matters, they will have the same effect as votes against the matters. On the other hand, shares resulting in broker non-votes, if any, are not entitled to vote for such matter and will have no effect on the outcome of the vote.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a nominee for director does not receive a majority of the vote in an uncontested election?</w:t>
      </w:r>
    </w:p>
    <w:p>
      <w:pPr>
        <w:spacing w:after="0" w:line="119" w:lineRule="exact"/>
        <w:rPr>
          <w:sz w:val="20"/>
          <w:szCs w:val="20"/>
          <w:color w:val="auto"/>
        </w:rPr>
      </w:pPr>
    </w:p>
    <w:p>
      <w:pPr>
        <w:ind w:right="280" w:firstLine="435"/>
        <w:spacing w:after="0" w:line="257" w:lineRule="auto"/>
        <w:rPr>
          <w:sz w:val="20"/>
          <w:szCs w:val="20"/>
          <w:color w:val="auto"/>
        </w:rPr>
      </w:pPr>
      <w:r>
        <w:rPr>
          <w:rFonts w:ascii="Arial" w:cs="Arial" w:eastAsia="Arial" w:hAnsi="Arial"/>
          <w:sz w:val="18"/>
          <w:szCs w:val="18"/>
          <w:color w:val="auto"/>
        </w:rPr>
        <w:t>All nominees for the election of directors at the 2022 annual meeting are incumbent directors currently serving on the board and the election is uncontested. An incumbent director nominee who does not receive the necessary number of votes to be elected at the annual meeting would, under Delaware law, continue to serve 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500" w:top="268" w:right="539" w:bottom="1440" w:gutter="0" w:footer="0" w:header="0"/>
        </w:sectPr>
      </w:pPr>
    </w:p>
    <w:bookmarkStart w:id="7" w:name="page8"/>
    <w:bookmarkEnd w:id="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board as a “holdover director.” However, under our bylaws, any director who fails to receive the necessary number of votes to be elected must tender his or her resignation to the board promptly. Our independent directors (excluding the director who tendered the resignation) would be required to determine whether to accept or reject the resignation, or whether to take any other action. The board would then act on the tendered resignation, and publicly disclose its decision, within 90 days following certification of the stockholder vote.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 tabulating and certifying votes at the meeting?</w:t>
      </w:r>
    </w:p>
    <w:p>
      <w:pPr>
        <w:spacing w:after="0" w:line="119" w:lineRule="exact"/>
        <w:rPr>
          <w:sz w:val="20"/>
          <w:szCs w:val="20"/>
          <w:color w:val="auto"/>
        </w:rPr>
      </w:pPr>
    </w:p>
    <w:p>
      <w:pPr>
        <w:ind w:right="1080" w:firstLine="435"/>
        <w:spacing w:after="0" w:line="267" w:lineRule="auto"/>
        <w:rPr>
          <w:sz w:val="20"/>
          <w:szCs w:val="20"/>
          <w:color w:val="auto"/>
        </w:rPr>
      </w:pPr>
      <w:r>
        <w:rPr>
          <w:rFonts w:ascii="Arial" w:cs="Arial" w:eastAsia="Arial" w:hAnsi="Arial"/>
          <w:sz w:val="18"/>
          <w:szCs w:val="18"/>
          <w:color w:val="auto"/>
        </w:rPr>
        <w:t>We have engaged Computershare Trust Company, N.A., our transfer agent, to serve as the tabulator of votes and a representative of Computershare to serve as inspector of election and certify the votes.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we soliciting this proxy?</w:t>
      </w:r>
    </w:p>
    <w:p>
      <w:pPr>
        <w:spacing w:after="0" w:line="119" w:lineRule="exact"/>
        <w:rPr>
          <w:sz w:val="20"/>
          <w:szCs w:val="20"/>
          <w:color w:val="auto"/>
        </w:rPr>
      </w:pPr>
    </w:p>
    <w:p>
      <w:pPr>
        <w:ind w:right="200" w:firstLine="435"/>
        <w:spacing w:after="0" w:line="251" w:lineRule="auto"/>
        <w:rPr>
          <w:sz w:val="20"/>
          <w:szCs w:val="20"/>
          <w:color w:val="auto"/>
        </w:rPr>
      </w:pPr>
      <w:r>
        <w:rPr>
          <w:rFonts w:ascii="Arial" w:cs="Arial" w:eastAsia="Arial" w:hAnsi="Arial"/>
          <w:sz w:val="18"/>
          <w:szCs w:val="18"/>
          <w:color w:val="auto"/>
        </w:rPr>
        <w:t>We are soliciting this proxy on behalf of our board of directors by mail and will pay all expenses associated with this solicitation. We have retained Georgeson Inc. to aid in the solicitation of proxy materials for a fee of $9,500 plus expenses. In addition to mailing these proxy materials, certain of our officers and other employees may, without additional compensation, solicit proxies by further mailing or personal conversations, or by telephone, facsimile or other electronic means. We will also, upon request, reimburse brokers and other persons holding stock in their names, or in the names of nominees, for their reasonable out-of-pocket expenses for forwarding proxy materials to the beneficial owners of our common stock and to obtain proxies.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2022 ANNUAL MEETING OF STOCKHOLDERS TO BE HELD ON TUESDAY, MAY 17, 2022</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statement and our 2021 Annual Report to Stockholders are available at www.edocumentview.com/PKG</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500" w:top="274" w:right="5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ELECTION OF DIRECTORS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NO. 1 ON PROXY CARD</w:t>
      </w:r>
    </w:p>
    <w:p>
      <w:pPr>
        <w:spacing w:after="0" w:line="225" w:lineRule="exact"/>
        <w:rPr>
          <w:sz w:val="20"/>
          <w:szCs w:val="20"/>
          <w:color w:val="auto"/>
        </w:rPr>
      </w:pPr>
    </w:p>
    <w:p>
      <w:pPr>
        <w:jc w:val="both"/>
        <w:ind w:right="80" w:firstLine="435"/>
        <w:spacing w:after="0" w:line="295" w:lineRule="auto"/>
        <w:rPr>
          <w:sz w:val="20"/>
          <w:szCs w:val="20"/>
          <w:color w:val="auto"/>
        </w:rPr>
      </w:pPr>
      <w:r>
        <w:rPr>
          <w:rFonts w:ascii="Arial" w:cs="Arial" w:eastAsia="Arial" w:hAnsi="Arial"/>
          <w:sz w:val="16"/>
          <w:szCs w:val="16"/>
          <w:color w:val="auto"/>
        </w:rPr>
        <w:t>Our board currently has 11 directors. As of the time of the 2022 annual meeting, as James D. Woodrum is not standing for reelection to the board, the size of the board will be reduced to ten directors. The ten nominees named below are proposed to be elected at this annual meeting to serve until the 2023 Annual Meeting of Stockholders and until their successors are elected and qualified. All of the nominees have been nominated for election by our board of directors upon the recommendation of the nominating and governance committee of the board of directors.</w:t>
      </w:r>
    </w:p>
    <w:p>
      <w:pPr>
        <w:spacing w:after="0" w:line="162" w:lineRule="exact"/>
        <w:rPr>
          <w:sz w:val="20"/>
          <w:szCs w:val="20"/>
          <w:color w:val="auto"/>
        </w:rPr>
      </w:pPr>
    </w:p>
    <w:p>
      <w:pPr>
        <w:ind w:right="40" w:firstLine="435"/>
        <w:spacing w:after="0" w:line="291" w:lineRule="auto"/>
        <w:rPr>
          <w:sz w:val="20"/>
          <w:szCs w:val="20"/>
          <w:color w:val="auto"/>
        </w:rPr>
      </w:pPr>
      <w:r>
        <w:rPr>
          <w:rFonts w:ascii="Arial" w:cs="Arial" w:eastAsia="Arial" w:hAnsi="Arial"/>
          <w:sz w:val="16"/>
          <w:szCs w:val="16"/>
          <w:color w:val="auto"/>
        </w:rPr>
        <w:t>A properly submitted proxy will be voted by the persons named on the proxy card for the election of each nominee, unless you vote against the nominee or abstain. If elected, each nominee will serve until the expiration of his or her term and his or her successor is elected and qualified or until his or her earlier resignation, removal or death. Each of the nominees is willing to serve if elected, and the board of directors has no reason to believe that any of the nominees will be unavailable for election. If such a situation should arise, the proxy will be voted in accordance with the best judgment of the proxy holder for such person or persons as may be designated by the board of directors, unless the stockholder has directed otherwise.</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 forth below is information regarding each nominee. Standing for election are:</w:t>
      </w:r>
    </w:p>
    <w:p>
      <w:pPr>
        <w:spacing w:after="0" w:line="219" w:lineRule="exact"/>
        <w:rPr>
          <w:sz w:val="20"/>
          <w:szCs w:val="20"/>
          <w:color w:val="auto"/>
        </w:rPr>
      </w:pPr>
    </w:p>
    <w:p>
      <w:pPr>
        <w:ind w:right="60" w:firstLine="435"/>
        <w:spacing w:after="0" w:line="266" w:lineRule="auto"/>
        <w:rPr>
          <w:sz w:val="20"/>
          <w:szCs w:val="20"/>
          <w:color w:val="auto"/>
        </w:rPr>
      </w:pPr>
      <w:r>
        <w:rPr>
          <w:rFonts w:ascii="Arial" w:cs="Arial" w:eastAsia="Arial" w:hAnsi="Arial"/>
          <w:sz w:val="17"/>
          <w:szCs w:val="17"/>
          <w:i w:val="1"/>
          <w:iCs w:val="1"/>
          <w:color w:val="auto"/>
        </w:rPr>
        <w:t xml:space="preserve">Mark W. Kowlzan </w:t>
      </w:r>
      <w:r>
        <w:rPr>
          <w:rFonts w:ascii="Arial" w:cs="Arial" w:eastAsia="Arial" w:hAnsi="Arial"/>
          <w:sz w:val="17"/>
          <w:szCs w:val="17"/>
          <w:color w:val="auto"/>
        </w:rPr>
        <w:t>is 67 years old and has served as Chief Executive Officer and a director of PCA since July 2010 and as Chairman since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2016. From 1998 through June 2010, Mr. Kowlzan led PCA’s containerboard mill system, first as Vice President and General Manager and then as Senior Vice President—Containerboard. From 1996 through 1998, Mr. Kowlzan served in various senior operating positions with PCA in its mill operations, including as manager of the Counce, Tennessee linerboard mill. Prior to joining PCA, Mr. Kowlzan spent 15 years at International Paper Company, where he held a series of operational and managerial positions within its mill organization. Mr. Kowlzan has been a member of the board of directors of American Forest &amp; Paper Association since February 2011. Mr. Kowlzan was chosen to serve on our board primarily for his extensive expertise in the paper and packaging industries and his familiarity with our business through his leadership of our containerboard mill system and our company. Mr. Kowlzan self identifies as a Caucasian male.</w:t>
      </w:r>
    </w:p>
    <w:p>
      <w:pPr>
        <w:spacing w:after="0" w:line="186" w:lineRule="exact"/>
        <w:rPr>
          <w:sz w:val="20"/>
          <w:szCs w:val="20"/>
          <w:color w:val="auto"/>
        </w:rPr>
      </w:pPr>
    </w:p>
    <w:p>
      <w:pPr>
        <w:ind w:firstLine="435"/>
        <w:spacing w:after="0" w:line="279" w:lineRule="auto"/>
        <w:rPr>
          <w:sz w:val="20"/>
          <w:szCs w:val="20"/>
          <w:color w:val="auto"/>
        </w:rPr>
      </w:pPr>
      <w:r>
        <w:rPr>
          <w:rFonts w:ascii="Arial" w:cs="Arial" w:eastAsia="Arial" w:hAnsi="Arial"/>
          <w:sz w:val="16"/>
          <w:szCs w:val="16"/>
          <w:i w:val="1"/>
          <w:iCs w:val="1"/>
          <w:color w:val="auto"/>
        </w:rPr>
        <w:t xml:space="preserve">Cheryl K. Beebe </w:t>
      </w:r>
      <w:r>
        <w:rPr>
          <w:rFonts w:ascii="Arial" w:cs="Arial" w:eastAsia="Arial" w:hAnsi="Arial"/>
          <w:sz w:val="16"/>
          <w:szCs w:val="16"/>
          <w:color w:val="auto"/>
        </w:rPr>
        <w:t>is 66 years old and has served as a director of PCA since May 2008. From February 2004 until her retirement in February 2014,</w:t>
      </w:r>
      <w:r>
        <w:rPr>
          <w:rFonts w:ascii="Arial" w:cs="Arial" w:eastAsia="Arial" w:hAnsi="Arial"/>
          <w:sz w:val="16"/>
          <w:szCs w:val="16"/>
          <w:i w:val="1"/>
          <w:iCs w:val="1"/>
          <w:color w:val="auto"/>
        </w:rPr>
        <w:t xml:space="preserve"> </w:t>
      </w:r>
      <w:r>
        <w:rPr>
          <w:rFonts w:ascii="Arial" w:cs="Arial" w:eastAsia="Arial" w:hAnsi="Arial"/>
          <w:sz w:val="16"/>
          <w:szCs w:val="16"/>
          <w:color w:val="auto"/>
        </w:rPr>
        <w:t>Ms. Beebe served as the Chief Financial Officer of Ingredion Incorporated (formerly named Corn Products International, Inc.), a manufacturer and seller of a number of ingredients to food and industrial customers. Ms. Beebe previously served Ingredion as Vice President, Finance from July 2002 to February 2004, as Vice President from February 1999 to 2004 and as Treasurer from 1997 to February 2004. She served as Director of Finance and Planning for CPC International Inc.’s (now named Unilever BestFoods) Corn Refining Business from 1995 to 1997 and as Director of Financial Analysis and Planning for its Corn Products North America business from 1993 to 1995. From 1980 to 1993, she served in various financial positions in CPC’s U.S. consumer food business, North American audit group and worldwide corporate treasury function. Ms. Beebe is a member of the board of directors of The Mosaic Company and Hanesbrands, Inc. and served on the board of directors of Convergys Corporation during the past five years.</w:t>
      </w:r>
    </w:p>
    <w:p>
      <w:pPr>
        <w:spacing w:after="0" w:line="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Ms. Beebe is a trustee of Goldman Sach Asset Management GSTII funds. Ms. Beebe was chosen to serve on our board primarily for her experience as a chief financial officer of a public company, her extensive financial and accounting background, and her knowledge of the manufacturing industry and the strategic and business issues and risks similar to those facing PCA. Ms. Beebe self identifies as a Caucasian female.</w:t>
      </w:r>
    </w:p>
    <w:p>
      <w:pPr>
        <w:spacing w:after="0" w:line="159" w:lineRule="exact"/>
        <w:rPr>
          <w:sz w:val="20"/>
          <w:szCs w:val="20"/>
          <w:color w:val="auto"/>
        </w:rPr>
      </w:pPr>
    </w:p>
    <w:p>
      <w:pPr>
        <w:jc w:val="both"/>
        <w:ind w:right="100" w:firstLine="435"/>
        <w:spacing w:after="0" w:line="304" w:lineRule="auto"/>
        <w:rPr>
          <w:sz w:val="20"/>
          <w:szCs w:val="20"/>
          <w:color w:val="auto"/>
        </w:rPr>
      </w:pPr>
      <w:r>
        <w:rPr>
          <w:rFonts w:ascii="Arial" w:cs="Arial" w:eastAsia="Arial" w:hAnsi="Arial"/>
          <w:sz w:val="16"/>
          <w:szCs w:val="16"/>
          <w:i w:val="1"/>
          <w:iCs w:val="1"/>
          <w:color w:val="auto"/>
        </w:rPr>
        <w:t xml:space="preserve">Duane C. Farrington </w:t>
      </w:r>
      <w:r>
        <w:rPr>
          <w:rFonts w:ascii="Arial" w:cs="Arial" w:eastAsia="Arial" w:hAnsi="Arial"/>
          <w:sz w:val="16"/>
          <w:szCs w:val="16"/>
          <w:color w:val="auto"/>
        </w:rPr>
        <w:t>is 63 years old and has served as a director of PCA since August 2015. Mr. Farrington was employed by State Farm Mutual</w:t>
      </w:r>
      <w:r>
        <w:rPr>
          <w:rFonts w:ascii="Arial" w:cs="Arial" w:eastAsia="Arial" w:hAnsi="Arial"/>
          <w:sz w:val="16"/>
          <w:szCs w:val="16"/>
          <w:i w:val="1"/>
          <w:iCs w:val="1"/>
          <w:color w:val="auto"/>
        </w:rPr>
        <w:t xml:space="preserve"> </w:t>
      </w:r>
      <w:r>
        <w:rPr>
          <w:rFonts w:ascii="Arial" w:cs="Arial" w:eastAsia="Arial" w:hAnsi="Arial"/>
          <w:sz w:val="16"/>
          <w:szCs w:val="16"/>
          <w:color w:val="auto"/>
        </w:rPr>
        <w:t>Automobile Insurance Company from 1980 until his retirement in 2020. He served State Farm as Senior Vice President for Sales and Operations in the mid-Atlantic operation from 2005 to 2008. He moved to the corporate headquarters in 2009 and was named Executive Vice President and Chief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500" w:top="268" w:right="519" w:bottom="1440" w:gutter="0" w:footer="0" w:header="0"/>
        </w:sectPr>
      </w:pPr>
    </w:p>
    <w:bookmarkStart w:id="9" w:name="page10"/>
    <w:bookmarkEnd w:id="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Administrative Officer in 2013 and served in such position until he retired in 2020. In his State Farm senior leadership role, he had overall responsibility for the organization’s information technology, systems and business</w:t>
      </w:r>
    </w:p>
    <w:p>
      <w:pPr>
        <w:spacing w:after="0" w:line="1"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integration, information security, and innovation functions. Mr. Farrington earned the Chartered Property Casualty Underwriter (CPCU) designation in 1995. Mr. Farrington was chosen to serve on our board primarily because of his extensive experience with information technology and security, as well as his business experience gained from 40 years of service at State Farm. Mr. Farrington self identifies as an African-American male.</w:t>
      </w:r>
    </w:p>
    <w:p>
      <w:pPr>
        <w:spacing w:after="0" w:line="159" w:lineRule="exact"/>
        <w:rPr>
          <w:sz w:val="20"/>
          <w:szCs w:val="20"/>
          <w:color w:val="auto"/>
        </w:rPr>
      </w:pPr>
    </w:p>
    <w:p>
      <w:pPr>
        <w:ind w:right="20" w:firstLine="435"/>
        <w:spacing w:after="0" w:line="286" w:lineRule="auto"/>
        <w:rPr>
          <w:sz w:val="20"/>
          <w:szCs w:val="20"/>
          <w:color w:val="auto"/>
        </w:rPr>
      </w:pPr>
      <w:r>
        <w:rPr>
          <w:rFonts w:ascii="Arial" w:cs="Arial" w:eastAsia="Arial" w:hAnsi="Arial"/>
          <w:sz w:val="16"/>
          <w:szCs w:val="16"/>
          <w:i w:val="1"/>
          <w:iCs w:val="1"/>
          <w:color w:val="auto"/>
        </w:rPr>
        <w:t xml:space="preserve">Donna A. Harman </w:t>
      </w:r>
      <w:r>
        <w:rPr>
          <w:rFonts w:ascii="Arial" w:cs="Arial" w:eastAsia="Arial" w:hAnsi="Arial"/>
          <w:sz w:val="16"/>
          <w:szCs w:val="16"/>
          <w:color w:val="auto"/>
        </w:rPr>
        <w:t>is 62 years old and has served as a director of PCA since December 2019. She served as President and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American Forest and Paper Association (AF&amp;PA), the national trade association of the paper and wood products industries, from 2007 until her retirement in 2019. Earlier in her career, she held positions as AF&amp;PA’s senior vice president, policy and government affairs, served in governmental affairs for Champion International Corporation and The Dow Chemical Company and served as a legislative assistant in Congress. Ms. Harman is the 2019 recipient of the Bryce Harlow award, which recognizes her exemplary career in business-government relations. Ms. Harman was chosen to serve on our board primarily for her considerable experience with sustainability, public policy matters relevant to our industry and senior leadership experience, through her service as president of AF&amp;PA for more than one decade. Ms. Harman self identifies as a Caucasian female.</w:t>
      </w:r>
    </w:p>
    <w:p>
      <w:pPr>
        <w:spacing w:after="0" w:line="171" w:lineRule="exact"/>
        <w:rPr>
          <w:sz w:val="20"/>
          <w:szCs w:val="20"/>
          <w:color w:val="auto"/>
        </w:rPr>
      </w:pPr>
    </w:p>
    <w:p>
      <w:pPr>
        <w:ind w:firstLine="435"/>
        <w:spacing w:after="0" w:line="266" w:lineRule="auto"/>
        <w:rPr>
          <w:sz w:val="20"/>
          <w:szCs w:val="20"/>
          <w:color w:val="auto"/>
        </w:rPr>
      </w:pPr>
      <w:r>
        <w:rPr>
          <w:rFonts w:ascii="Arial" w:cs="Arial" w:eastAsia="Arial" w:hAnsi="Arial"/>
          <w:sz w:val="17"/>
          <w:szCs w:val="17"/>
          <w:i w:val="1"/>
          <w:iCs w:val="1"/>
          <w:color w:val="auto"/>
        </w:rPr>
        <w:t xml:space="preserve">Robert C. Lyons </w:t>
      </w:r>
      <w:r>
        <w:rPr>
          <w:rFonts w:ascii="Arial" w:cs="Arial" w:eastAsia="Arial" w:hAnsi="Arial"/>
          <w:sz w:val="17"/>
          <w:szCs w:val="17"/>
          <w:color w:val="auto"/>
        </w:rPr>
        <w:t>is 58 years old and has served as a director of PCA since August 2011. Mr. Lyons has served as Executive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President—Rail North America of GATX Corporation, a rail, marine and industrial equipment leasing company, since August 2018 and as Chief Financial Officer of GATX from November 2004 to August 2018. Mr. Lyons will become the Chief Executive Officer of GATX in April 2022 and will be nominated for election to the board of directors of GATX at that time. Mr. Lyons has been employed by GATX since 1997 and was promoted through the treasury and investor relations departments before being elected Vice President, Investor Relations in 2002. Prior to his employment with GATX, Mr. Lyons worked for the Financial Relations Board and in the corporate banking division of The Bank of Tokyo-Mitsubishi. Mr. Lyons was chosen to serve on our board primarily for his extensive financial and accounting background, experience as a business unit president and chief financial officer of a public company, and his familiarity with strategic and business issues and risks for companies similarly situated to PCA. Mr. Lyons self identifies as a Caucasian male.</w:t>
      </w:r>
    </w:p>
    <w:p>
      <w:pPr>
        <w:spacing w:after="0" w:line="182" w:lineRule="exact"/>
        <w:rPr>
          <w:sz w:val="20"/>
          <w:szCs w:val="20"/>
          <w:color w:val="auto"/>
        </w:rPr>
      </w:pPr>
    </w:p>
    <w:p>
      <w:pPr>
        <w:ind w:right="60" w:firstLine="435"/>
        <w:spacing w:after="0" w:line="286" w:lineRule="auto"/>
        <w:rPr>
          <w:sz w:val="20"/>
          <w:szCs w:val="20"/>
          <w:color w:val="auto"/>
        </w:rPr>
      </w:pPr>
      <w:r>
        <w:rPr>
          <w:rFonts w:ascii="Arial" w:cs="Arial" w:eastAsia="Arial" w:hAnsi="Arial"/>
          <w:sz w:val="16"/>
          <w:szCs w:val="16"/>
          <w:i w:val="1"/>
          <w:iCs w:val="1"/>
          <w:color w:val="auto"/>
        </w:rPr>
        <w:t xml:space="preserve">Thomas P. Maurer </w:t>
      </w:r>
      <w:r>
        <w:rPr>
          <w:rFonts w:ascii="Arial" w:cs="Arial" w:eastAsia="Arial" w:hAnsi="Arial"/>
          <w:sz w:val="16"/>
          <w:szCs w:val="16"/>
          <w:color w:val="auto"/>
        </w:rPr>
        <w:t>is 70 years old and has served as a director of PCA since May 2014. Mr. Maurer spent his entire career with Ernst &amp; Young,</w:t>
      </w:r>
      <w:r>
        <w:rPr>
          <w:rFonts w:ascii="Arial" w:cs="Arial" w:eastAsia="Arial" w:hAnsi="Arial"/>
          <w:sz w:val="16"/>
          <w:szCs w:val="16"/>
          <w:i w:val="1"/>
          <w:iCs w:val="1"/>
          <w:color w:val="auto"/>
        </w:rPr>
        <w:t xml:space="preserve"> </w:t>
      </w:r>
      <w:r>
        <w:rPr>
          <w:rFonts w:ascii="Arial" w:cs="Arial" w:eastAsia="Arial" w:hAnsi="Arial"/>
          <w:sz w:val="16"/>
          <w:szCs w:val="16"/>
          <w:color w:val="auto"/>
        </w:rPr>
        <w:t>LLP, a global professional services firm, from 1973 until his retirement in 2011. He served as the global coordinating partner on the audits of large companies primarily in the manufacturing and consumer products industries. Mr. Maurer was a member of the Ernst &amp; Young Global Account Partner Group and he served two terms on the Ernst &amp; Young Partner Advisory Council. Mr. Maurer also served as the leader of the Retail, Consumer Products and Industrial Products Group in Ernst &amp; Young’s Chicago office. Mr. Maurer is also a director of Lamb Weston Holdings, Inc. Mr. Maurer was chosen to serve on our board primarily for his experience working with and assisting similarly situated companies to ours, his extensive financial and accounting background and his knowledge of similarly situated manufacturing companies. Mr. Maurer self identifies as a Caucasian male.</w:t>
      </w:r>
    </w:p>
    <w:p>
      <w:pPr>
        <w:spacing w:after="0" w:line="171" w:lineRule="exact"/>
        <w:rPr>
          <w:sz w:val="20"/>
          <w:szCs w:val="20"/>
          <w:color w:val="auto"/>
        </w:rPr>
      </w:pPr>
    </w:p>
    <w:p>
      <w:pPr>
        <w:ind w:right="80" w:firstLine="435"/>
        <w:spacing w:after="0" w:line="291" w:lineRule="auto"/>
        <w:rPr>
          <w:sz w:val="20"/>
          <w:szCs w:val="20"/>
          <w:color w:val="auto"/>
        </w:rPr>
      </w:pPr>
      <w:r>
        <w:rPr>
          <w:rFonts w:ascii="Arial" w:cs="Arial" w:eastAsia="Arial" w:hAnsi="Arial"/>
          <w:sz w:val="16"/>
          <w:szCs w:val="16"/>
          <w:i w:val="1"/>
          <w:iCs w:val="1"/>
          <w:color w:val="auto"/>
        </w:rPr>
        <w:t xml:space="preserve">Samuel M. Mencoff </w:t>
      </w:r>
      <w:r>
        <w:rPr>
          <w:rFonts w:ascii="Arial" w:cs="Arial" w:eastAsia="Arial" w:hAnsi="Arial"/>
          <w:sz w:val="16"/>
          <w:szCs w:val="16"/>
          <w:color w:val="auto"/>
        </w:rPr>
        <w:t>is 65 years old and has served as a director of PCA since January 1999 and served as Vice President of PCA from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1999 through January 2000. Mr. Mencoff has been employed principally by Madison Dearborn Partners, LLC since 1993 and currently serves as Co-Chief Executive Officer. From 1987 until 1993, Mr. Mencoff served as Vice President of First Chicago Venture Capital. Mr. Mencoff was chosen to serve on our board primarily for his substantial operational and financial experience gained from the acquisition and management of similarly-situated portfolio companies as managing director and Co-Chief Executive Officer of Madison Dearborn. Mr. Mencoff self identifies as a Caucasian male.</w:t>
      </w:r>
    </w:p>
    <w:p>
      <w:pPr>
        <w:spacing w:after="0" w:line="164" w:lineRule="exact"/>
        <w:rPr>
          <w:sz w:val="20"/>
          <w:szCs w:val="20"/>
          <w:color w:val="auto"/>
        </w:rPr>
      </w:pPr>
    </w:p>
    <w:p>
      <w:pPr>
        <w:ind w:right="220" w:firstLine="435"/>
        <w:spacing w:after="0" w:line="267" w:lineRule="auto"/>
        <w:rPr>
          <w:sz w:val="20"/>
          <w:szCs w:val="20"/>
          <w:color w:val="auto"/>
        </w:rPr>
      </w:pPr>
      <w:r>
        <w:rPr>
          <w:rFonts w:ascii="Arial" w:cs="Arial" w:eastAsia="Arial" w:hAnsi="Arial"/>
          <w:sz w:val="18"/>
          <w:szCs w:val="18"/>
          <w:i w:val="1"/>
          <w:iCs w:val="1"/>
          <w:color w:val="auto"/>
        </w:rPr>
        <w:t xml:space="preserve">Roger B. Porter </w:t>
      </w:r>
      <w:r>
        <w:rPr>
          <w:rFonts w:ascii="Arial" w:cs="Arial" w:eastAsia="Arial" w:hAnsi="Arial"/>
          <w:sz w:val="18"/>
          <w:szCs w:val="18"/>
          <w:color w:val="auto"/>
        </w:rPr>
        <w:t>is 75 years old and has served as a director of PCA since May 2005. Mr. Porter is currently the IBM Professor of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at Harvard University and has served on the faculty at Harvard</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500" w:top="274" w:right="559" w:bottom="1440" w:gutter="0" w:footer="0" w:header="0"/>
        </w:sectPr>
      </w:pPr>
    </w:p>
    <w:bookmarkStart w:id="10" w:name="page11"/>
    <w:bookmarkEnd w:id="10"/>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University since 1977. Mr. Porter also held senior economic policy positions in the Gerald Ford, Ronald Reagan and George H.W. Bush White Houses, serving as special assistant to the President and executive secretary of the Economic Policy board from 1974 to 1977, as deputy assistant to the President and director of the White House Office of Policy Development from 1981 to 1985, and as assistant to the President for economic and domestic policy from 1989 to 1993. Mr. Porter is also a director of Extra Space Storage Inc. and has served as a director of</w:t>
      </w:r>
    </w:p>
    <w:p>
      <w:pPr>
        <w:spacing w:after="0" w:line="1" w:lineRule="exact"/>
        <w:rPr>
          <w:sz w:val="20"/>
          <w:szCs w:val="20"/>
          <w:color w:val="auto"/>
        </w:rPr>
      </w:pPr>
    </w:p>
    <w:p>
      <w:pPr>
        <w:ind w:right="540"/>
        <w:spacing w:after="0" w:line="316" w:lineRule="auto"/>
        <w:rPr>
          <w:sz w:val="20"/>
          <w:szCs w:val="20"/>
          <w:color w:val="auto"/>
        </w:rPr>
      </w:pPr>
      <w:r>
        <w:rPr>
          <w:rFonts w:ascii="Arial" w:cs="Arial" w:eastAsia="Arial" w:hAnsi="Arial"/>
          <w:sz w:val="16"/>
          <w:szCs w:val="16"/>
          <w:color w:val="auto"/>
        </w:rPr>
        <w:t>Zions Bancorporation and Tenneco, Inc. during the last five years. Mr. Porter was chosen to serve on our board primarily for his perspectives and insights gained through his significant business, governmental and public policy experience. Mr. Porter self identifies as a Caucasian male.</w:t>
      </w:r>
    </w:p>
    <w:p>
      <w:pPr>
        <w:spacing w:after="0" w:line="144" w:lineRule="exact"/>
        <w:rPr>
          <w:sz w:val="20"/>
          <w:szCs w:val="20"/>
          <w:color w:val="auto"/>
        </w:rPr>
      </w:pPr>
    </w:p>
    <w:p>
      <w:pPr>
        <w:ind w:right="40" w:firstLine="435"/>
        <w:spacing w:after="0" w:line="288" w:lineRule="auto"/>
        <w:rPr>
          <w:sz w:val="20"/>
          <w:szCs w:val="20"/>
          <w:color w:val="auto"/>
        </w:rPr>
      </w:pPr>
      <w:r>
        <w:rPr>
          <w:rFonts w:ascii="Arial" w:cs="Arial" w:eastAsia="Arial" w:hAnsi="Arial"/>
          <w:sz w:val="16"/>
          <w:szCs w:val="16"/>
          <w:i w:val="1"/>
          <w:iCs w:val="1"/>
          <w:color w:val="auto"/>
        </w:rPr>
        <w:t xml:space="preserve">Thomas S. Souleles </w:t>
      </w:r>
      <w:r>
        <w:rPr>
          <w:rFonts w:ascii="Arial" w:cs="Arial" w:eastAsia="Arial" w:hAnsi="Arial"/>
          <w:sz w:val="16"/>
          <w:szCs w:val="16"/>
          <w:color w:val="auto"/>
        </w:rPr>
        <w:t>is 53 years old and has served as a director of PCA since September 2010, and previously served on PCA’s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from 1999 to 2008. Mr. Souleles has been employed principally by Madison Dearborn Partners, LLC since 1995 and currently serves as a Managing Director concentrating on investments in the basic industries sector. Mr. Souleles has served on the board of directors of Multi Packaging Solutions International Ltd. during the past five years. Mr. Souleles was chosen to serve on our board primarily for his substantial operational and financial experience gained from the acquisition and management of similarly-situated portfolio companies, including several in the paper and forest products industry, as managing director of Madison Dearborn and his expertise in financial analysis. Mr. Souleles self identifies as a Caucasian male.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Paul T. Stecko </w:t>
      </w:r>
      <w:r>
        <w:rPr>
          <w:rFonts w:ascii="Arial" w:cs="Arial" w:eastAsia="Arial" w:hAnsi="Arial"/>
          <w:sz w:val="16"/>
          <w:szCs w:val="16"/>
          <w:color w:val="auto"/>
        </w:rPr>
        <w:t>is 77 years old and has served as a director of PCA since March 1999, including as Chairman from March 1999 through December</w:t>
      </w:r>
    </w:p>
    <w:p>
      <w:pPr>
        <w:spacing w:after="0" w:line="4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2015. He served as a Senior Advisor to PCA from December 2015 through the end of 2017. He served as Executive Chairman of PCA from July 2010 until his retirement as an officer and employee of the company in December 2013. Mr. Stecko served as Chief Executive Officer of PCA from January 1999 to July 2010. From November 1998 to April 1999, Mr. Stecko served as President and Chief Operating Officer of Tenneco Inc. From January 1997 to November 1998, Mr. Stecko served as Chief Operating Officer of Tenneco, Inc. From December 1993 through January 1997, Mr. Stecko served as President and Chief Executive Officer of Tenneco Packaging Inc. Prior to joining Tenneco Packaging, Mr. Stecko spent 16 years with International Paper Company. Mr. Stecko has served on the board of directors of Tenneco, Inc. during the past five years. Mr. Stecko was chosen to serve on our board primarily for his extensive experience in the paper and packaging industries and general business experience, including more than ten successful years as our chief executive officer. Mr. Stecko self identifies as a Caucasian male.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b w:val="1"/>
          <w:bCs w:val="1"/>
          <w:color w:val="auto"/>
        </w:rPr>
        <w:t>the election of each of the director nominees.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500" w:top="274" w:right="5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Determination of Director Independence</w:t>
      </w:r>
    </w:p>
    <w:p>
      <w:pPr>
        <w:spacing w:after="0" w:line="119" w:lineRule="exact"/>
        <w:rPr>
          <w:sz w:val="20"/>
          <w:szCs w:val="20"/>
          <w:color w:val="auto"/>
        </w:rPr>
      </w:pPr>
    </w:p>
    <w:p>
      <w:pPr>
        <w:ind w:right="80" w:firstLine="435"/>
        <w:spacing w:after="0" w:line="268" w:lineRule="auto"/>
        <w:rPr>
          <w:sz w:val="20"/>
          <w:szCs w:val="20"/>
          <w:color w:val="auto"/>
        </w:rPr>
      </w:pPr>
      <w:r>
        <w:rPr>
          <w:rFonts w:ascii="Arial" w:cs="Arial" w:eastAsia="Arial" w:hAnsi="Arial"/>
          <w:sz w:val="17"/>
          <w:szCs w:val="17"/>
          <w:color w:val="auto"/>
        </w:rPr>
        <w:t>Our corporate governance guidelines provide that a majority of the board of directors will consist of independent directors. All of our directors other than Mark W. Kowlzan, our chairman and chief executive officer, and Paul T. Stecko, our former chairman who served as an executive officer from 1999 to 2013 and in an advisory capacity through the end of 2017, are independent and not employed by us. In determining independence of those directors, the nominating and governance committee conducts an annual review and reports its findings to the full board. The nominating and governance committee determines if any material relationships exist that would impair the independence of any of the non-employee directors and makes a recommendation to the board as to the independence of the directors.</w:t>
      </w:r>
    </w:p>
    <w:p>
      <w:pPr>
        <w:spacing w:after="0" w:line="183" w:lineRule="exact"/>
        <w:rPr>
          <w:sz w:val="20"/>
          <w:szCs w:val="20"/>
          <w:color w:val="auto"/>
        </w:rPr>
      </w:pPr>
    </w:p>
    <w:p>
      <w:pPr>
        <w:ind w:right="40" w:firstLine="435"/>
        <w:spacing w:after="0" w:line="267" w:lineRule="auto"/>
        <w:rPr>
          <w:sz w:val="20"/>
          <w:szCs w:val="20"/>
          <w:color w:val="auto"/>
        </w:rPr>
      </w:pPr>
      <w:r>
        <w:rPr>
          <w:rFonts w:ascii="Arial" w:cs="Arial" w:eastAsia="Arial" w:hAnsi="Arial"/>
          <w:sz w:val="17"/>
          <w:szCs w:val="17"/>
          <w:color w:val="auto"/>
        </w:rPr>
        <w:t>A director may not qualify as independent unless the board of directors affirmatively determines that the director has no material relationship with us. The board of directors has not adopted categorical standards of materiality for independence purposes (other than those set forth in the New York Stock Exchange (“NYSE”) listing standards). In connection with the review performed at its February 23, 2022 meeting, the committee and the board were not aware of any relationship that would disqualify any director, other than Mr. Kowlzan, our current Chief Executive Officer, and Mr. Stecko, our former Chief Executive Officer, from being independent. The board and the nominating and governance committee considered the following relationships in making its determination. In 2021, the board found James D. Woodrum, who currently serves on our board and is not standing for reelection to our board at the 2022 annual meeting, to be independent.</w:t>
      </w:r>
    </w:p>
    <w:p>
      <w:pPr>
        <w:spacing w:after="0" w:line="184" w:lineRule="exact"/>
        <w:rPr>
          <w:sz w:val="20"/>
          <w:szCs w:val="20"/>
          <w:color w:val="auto"/>
        </w:rPr>
      </w:pPr>
    </w:p>
    <w:p>
      <w:pPr>
        <w:ind w:firstLine="435"/>
        <w:spacing w:after="0" w:line="288" w:lineRule="auto"/>
        <w:rPr>
          <w:sz w:val="20"/>
          <w:szCs w:val="20"/>
          <w:color w:val="auto"/>
        </w:rPr>
      </w:pPr>
      <w:r>
        <w:rPr>
          <w:rFonts w:ascii="Arial" w:cs="Arial" w:eastAsia="Arial" w:hAnsi="Arial"/>
          <w:sz w:val="16"/>
          <w:szCs w:val="16"/>
          <w:color w:val="auto"/>
        </w:rPr>
        <w:t>Madison Dearborn Partners, which employs Mr. Mencoff as co-Chief Executive Officer and Mr. Souleles as Managing Director, is a private equity firm that has investments in companies that may purchase products or services from, or provide products and services to, us in the ordinary course of business in amounts that are not material in amount or significance. Mr. Mencoff and Mr. Souleles are not compensated directly or indirectly as a result of any such transactions, do not otherwise have an interest in such transactions and are not involved in any manner in such transactions. Accordingly, we do not consider any such transactions to impair their independence. As Mr. Mencoff may be deemed to beneficially own more than 10% of certain portfolio companies, we report certain of these transactions under “Transactions with Related Persons” elsewhere in this proxy statement.</w:t>
      </w:r>
    </w:p>
    <w:p>
      <w:pPr>
        <w:spacing w:after="0" w:line="168" w:lineRule="exact"/>
        <w:rPr>
          <w:sz w:val="20"/>
          <w:szCs w:val="20"/>
          <w:color w:val="auto"/>
        </w:rPr>
      </w:pPr>
    </w:p>
    <w:p>
      <w:pPr>
        <w:ind w:right="20" w:firstLine="435"/>
        <w:spacing w:after="0" w:line="252" w:lineRule="auto"/>
        <w:rPr>
          <w:sz w:val="20"/>
          <w:szCs w:val="20"/>
          <w:color w:val="auto"/>
        </w:rPr>
      </w:pPr>
      <w:r>
        <w:rPr>
          <w:rFonts w:ascii="Arial" w:cs="Arial" w:eastAsia="Arial" w:hAnsi="Arial"/>
          <w:sz w:val="18"/>
          <w:szCs w:val="18"/>
          <w:color w:val="auto"/>
        </w:rPr>
        <w:t>We purchase services in the ordinary course of business from GATX Corporation, which currently employs Mr. Lyons as Executive Vice President and President— Rail North America. The amount of 2021 purchases was approximately $260,000, which is less than 0.1% of the 2021 sales of each of GATX and PCA. Mr. Lyons is not directly involved in, and is not compensated as a result of, this business relationship. Accordingly, the board determined that this business relationship was not a material relationship between Mr. Lyons and PCA, and determined him to be independent and eligible to serve on the audit committee.</w:t>
      </w:r>
    </w:p>
    <w:p>
      <w:pPr>
        <w:spacing w:after="0" w:line="193" w:lineRule="exact"/>
        <w:rPr>
          <w:sz w:val="20"/>
          <w:szCs w:val="20"/>
          <w:color w:val="auto"/>
        </w:rPr>
      </w:pPr>
    </w:p>
    <w:p>
      <w:pPr>
        <w:jc w:val="both"/>
        <w:ind w:right="200" w:firstLine="435"/>
        <w:spacing w:after="0" w:line="279" w:lineRule="auto"/>
        <w:rPr>
          <w:sz w:val="20"/>
          <w:szCs w:val="20"/>
          <w:color w:val="auto"/>
        </w:rPr>
      </w:pPr>
      <w:r>
        <w:rPr>
          <w:rFonts w:ascii="Arial" w:cs="Arial" w:eastAsia="Arial" w:hAnsi="Arial"/>
          <w:sz w:val="17"/>
          <w:szCs w:val="17"/>
          <w:color w:val="auto"/>
        </w:rPr>
        <w:t>Based on the report and recommendation of the nominating and governance committee, the board of directors has determined that the following directors and nominees, which constitute eight of the ten nominees for election to the board, are independent: Cheryl K. Beebe, Duane C. Farrington, Donna A. Harman, Robert C. Lyons, Thomas P. Maurer, Samuel M. Mencoff, Roger B. Porter and Thomas S. Souleles.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Board of Directors Meetings</w:t>
      </w:r>
    </w:p>
    <w:p>
      <w:pPr>
        <w:spacing w:after="0" w:line="119"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The board met five times during 2021. All nominees for election at the 2022 annual meeting, as well as Mr. Woodrum, attended at least 75% of the meetings of the board and the committees on which he or she was a member held during the year. All of our directors attended the 2021 Annual Meeting of Stockholders telephonically due to COVID-19 travel restrictions, and all of our directors are expected to attend the 2022 Annual Meeting of Stockholders in person.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500" w:top="268" w:right="5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Leadership Structure</w:t>
      </w:r>
    </w:p>
    <w:p>
      <w:pPr>
        <w:spacing w:after="0" w:line="119" w:lineRule="exact"/>
        <w:rPr>
          <w:sz w:val="20"/>
          <w:szCs w:val="20"/>
          <w:color w:val="auto"/>
        </w:rPr>
      </w:pPr>
    </w:p>
    <w:p>
      <w:pPr>
        <w:ind w:right="440" w:firstLine="435"/>
        <w:spacing w:after="0" w:line="253" w:lineRule="auto"/>
        <w:rPr>
          <w:sz w:val="20"/>
          <w:szCs w:val="20"/>
          <w:color w:val="auto"/>
        </w:rPr>
      </w:pPr>
      <w:r>
        <w:rPr>
          <w:rFonts w:ascii="Arial" w:cs="Arial" w:eastAsia="Arial" w:hAnsi="Arial"/>
          <w:sz w:val="18"/>
          <w:szCs w:val="18"/>
          <w:color w:val="auto"/>
        </w:rPr>
        <w:t>Effective January 1, 2016, the board determined to combine the roles of Chairman and Chief Executive Officer because of the efficiency and effectiveness of board conduct and proceedings gained from Mr. Kowlzan’s</w:t>
      </w:r>
    </w:p>
    <w:p>
      <w:pPr>
        <w:spacing w:after="0" w:line="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familiarity with our operations as a result of serving as chief executive officer and a director, enabling the board to focus on the most relevant decisions, issues and risks involving the company. As the company’s strategy focuses on operational excellence and capital allocation to further such operational excellence, the board believes that familiarity with company operations is important to board leadership, which is achieved under the current leadership structures.</w:t>
      </w:r>
    </w:p>
    <w:p>
      <w:pPr>
        <w:spacing w:after="0" w:line="196" w:lineRule="exact"/>
        <w:rPr>
          <w:sz w:val="20"/>
          <w:szCs w:val="20"/>
          <w:color w:val="auto"/>
        </w:rPr>
      </w:pPr>
    </w:p>
    <w:p>
      <w:pPr>
        <w:ind w:right="40" w:firstLine="435"/>
        <w:spacing w:after="0" w:line="266" w:lineRule="auto"/>
        <w:rPr>
          <w:sz w:val="20"/>
          <w:szCs w:val="20"/>
          <w:color w:val="auto"/>
        </w:rPr>
      </w:pPr>
      <w:r>
        <w:rPr>
          <w:rFonts w:ascii="Arial" w:cs="Arial" w:eastAsia="Arial" w:hAnsi="Arial"/>
          <w:sz w:val="17"/>
          <w:szCs w:val="17"/>
          <w:color w:val="auto"/>
        </w:rPr>
        <w:t>To help maintain a strong and appropriate independent director presence, the independent members of the board have elected Mr. Mencoff as the “lead director.” The lead director is an independent director elected by the independent directors on the board. In addition to presiding at executive sessions of independent directors, the lead director has the responsibility to: coordinate with the chairman regarding the establishment of the agenda and topics for board and stockholder meetings; retain independent advisors on behalf of the board as the board may determine is necessary or appropriate; serve as a liaison between the management directors and independent directors when circumstances dictate; participate actively in any recruitment of new directors; regularly meet with the CEO to provide board feedback; and perform such other functions as the independent directors may designate from time to time. The independent directors meet in executive sessions at every regularly scheduled board meeting and otherwise as necessary, and met in executive session four times during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19"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Issues relating to risk management are regularly discussed among management, the board and the audit committee. Financial risks, including risks relating to our internal controls, as well as information technology system-related risks are presented to, and discussed with the audit committee, including through our annual internal control assessment, periodic internal audit reports and through the annual internal audit plan. The company’s compliance program objectives and achievements are also discussed at least quarterly with the audit committee and annually with the full board. Business and operational risks are discussed with the board at every regularly scheduled meeting through the review of our performance, our business and industry operating conditions and our strategic direction. Management, through the chief financial officer, our internal audit department, our chief technology officer, our general counsel and our chairman and chief executive officer, periodically presents and discusses with the board risk assessments focusing on the key risks to PCA. The most recent presentation and discussion occurred at the February 23, 2022 board meeting. Key topics discussed during the year included the assessment of our environmental, health and safety management and compliance programs, insurance and risk management, our legal compliance programs and objectives, cybersecurity risks, compensation policies and our management of key business and operating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19" w:lineRule="exact"/>
        <w:rPr>
          <w:sz w:val="20"/>
          <w:szCs w:val="20"/>
          <w:color w:val="auto"/>
        </w:rPr>
      </w:pPr>
    </w:p>
    <w:p>
      <w:pPr>
        <w:ind w:right="180" w:firstLine="435"/>
        <w:spacing w:after="0" w:line="253" w:lineRule="auto"/>
        <w:rPr>
          <w:sz w:val="20"/>
          <w:szCs w:val="20"/>
          <w:color w:val="auto"/>
        </w:rPr>
      </w:pPr>
      <w:r>
        <w:rPr>
          <w:rFonts w:ascii="Arial" w:cs="Arial" w:eastAsia="Arial" w:hAnsi="Arial"/>
          <w:sz w:val="18"/>
          <w:szCs w:val="18"/>
          <w:color w:val="auto"/>
        </w:rPr>
        <w:t>The board has standing nominating and governance, compensation, audit and sustainability committees. As required under NYSE rules and the committee charters, each of the nominating and governance, compensation and audit committees consists solely of independent directors. Additional committee service eligibility requirements for audit committee members and compensation committee members are set forth in the committee charters and described below.</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3" w:lineRule="exact"/>
        <w:rPr>
          <w:sz w:val="20"/>
          <w:szCs w:val="20"/>
          <w:color w:val="auto"/>
        </w:rPr>
      </w:pPr>
    </w:p>
    <w:p>
      <w:pPr>
        <w:ind w:right="220" w:firstLine="435"/>
        <w:spacing w:after="0" w:line="297" w:lineRule="auto"/>
        <w:rPr>
          <w:sz w:val="20"/>
          <w:szCs w:val="20"/>
          <w:color w:val="auto"/>
        </w:rPr>
      </w:pPr>
      <w:r>
        <w:rPr>
          <w:rFonts w:ascii="Arial" w:cs="Arial" w:eastAsia="Arial" w:hAnsi="Arial"/>
          <w:sz w:val="17"/>
          <w:szCs w:val="17"/>
          <w:color w:val="auto"/>
        </w:rPr>
        <w:t>Mr. Porter (Chair), Mr. Mencoff, Mr. Souleles and Mr. Woodrum serve on the nominating and governance committee. Mr. Woodrum will depart from the committee at the time of the 2022 annual meeting. The nominating and governance committee met two times during 2021.</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500" w:top="268" w:right="51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nominating and governance committee’s primary responsibilities include, among other things:</w:t>
      </w:r>
    </w:p>
    <w:p>
      <w:pPr>
        <w:spacing w:after="0" w:line="126" w:lineRule="exact"/>
        <w:rPr>
          <w:sz w:val="20"/>
          <w:szCs w:val="20"/>
          <w:color w:val="auto"/>
        </w:rPr>
      </w:pPr>
    </w:p>
    <w:p>
      <w:pPr>
        <w:ind w:left="960" w:hanging="4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recommendation to the board of potential director candidates as nominees for election to the board;</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recommendation of independence for the candidates for election to the board;</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selection of potential candidates for board committee assignments;</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related party transactions under our related party transaction policy;</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oversight of our diversity and inclusion efforts;</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leading our annual board evaluation; and</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our corporate governance attributes.</w:t>
      </w:r>
    </w:p>
    <w:p>
      <w:pPr>
        <w:spacing w:after="0" w:line="219" w:lineRule="exact"/>
        <w:rPr>
          <w:sz w:val="20"/>
          <w:szCs w:val="20"/>
          <w:color w:val="auto"/>
        </w:rPr>
      </w:pPr>
    </w:p>
    <w:p>
      <w:pPr>
        <w:ind w:right="120" w:firstLine="435"/>
        <w:spacing w:after="0" w:line="279" w:lineRule="auto"/>
        <w:rPr>
          <w:sz w:val="20"/>
          <w:szCs w:val="20"/>
          <w:color w:val="auto"/>
        </w:rPr>
      </w:pPr>
      <w:r>
        <w:rPr>
          <w:rFonts w:ascii="Arial" w:cs="Arial" w:eastAsia="Arial" w:hAnsi="Arial"/>
          <w:sz w:val="17"/>
          <w:szCs w:val="17"/>
          <w:color w:val="auto"/>
        </w:rPr>
        <w:t>The committee leads our board recruiting and nominating efforts, as well as annual performance evaluations of the board, its committees and its members. Areas covered include quality of information provided to the board, the quality of interaction between the board and management, the frequency of meetings of the board and the overall effectiveness of board proceedings, conduct and leadership.</w:t>
      </w:r>
    </w:p>
    <w:p>
      <w:pPr>
        <w:spacing w:after="0" w:line="171" w:lineRule="exact"/>
        <w:rPr>
          <w:sz w:val="20"/>
          <w:szCs w:val="20"/>
          <w:color w:val="auto"/>
        </w:rPr>
      </w:pPr>
    </w:p>
    <w:p>
      <w:pPr>
        <w:ind w:firstLine="435"/>
        <w:spacing w:after="0" w:line="291" w:lineRule="auto"/>
        <w:rPr>
          <w:sz w:val="20"/>
          <w:szCs w:val="20"/>
          <w:color w:val="auto"/>
        </w:rPr>
      </w:pPr>
      <w:r>
        <w:rPr>
          <w:rFonts w:ascii="Arial" w:cs="Arial" w:eastAsia="Arial" w:hAnsi="Arial"/>
          <w:sz w:val="16"/>
          <w:szCs w:val="16"/>
          <w:color w:val="auto"/>
        </w:rPr>
        <w:t>The nominating and governance committee seeks to identify as candidates for director persons from various backgrounds, with a variety of life experiences, with a reputation for integrity and good business judgment, and who have experience in highly responsible positions in professions or industries relevant to the conduct of our business. In selecting potential new candidates, the committee will take into account the current composition of the board and the extent to which a candidate’s particular expertise and experience will complement the expertise and experience of other directors. The committee will also recruit new directors from a pool that includes qualified minority and/or female candidates.</w:t>
      </w:r>
    </w:p>
    <w:p>
      <w:pPr>
        <w:spacing w:after="0" w:line="164" w:lineRule="exact"/>
        <w:rPr>
          <w:sz w:val="20"/>
          <w:szCs w:val="20"/>
          <w:color w:val="auto"/>
        </w:rPr>
      </w:pPr>
    </w:p>
    <w:p>
      <w:pPr>
        <w:ind w:firstLine="435"/>
        <w:spacing w:after="0" w:line="252" w:lineRule="auto"/>
        <w:rPr>
          <w:sz w:val="20"/>
          <w:szCs w:val="20"/>
          <w:color w:val="auto"/>
        </w:rPr>
      </w:pPr>
      <w:r>
        <w:rPr>
          <w:rFonts w:ascii="Arial" w:cs="Arial" w:eastAsia="Arial" w:hAnsi="Arial"/>
          <w:sz w:val="18"/>
          <w:szCs w:val="18"/>
          <w:color w:val="auto"/>
        </w:rPr>
        <w:t>The committee also considers diversity as a factor in seeking new candidates and recruited and elected one female candidate in the last five years, such candidate being the only new director elected to PCA’s board in that time period. PCA’s board includes two female members (Ms. Harman and Ms. Beebe) and one African-American member (Mr. Farrington). The committee believes that the diversity that exists in the board composition is a benefit to PCA, and, in accordance with its recruitment policy, will continue efforts to recruit candidates from a pool that includes qualified diverse candidates when openings on the board exist.</w:t>
      </w:r>
    </w:p>
    <w:p>
      <w:pPr>
        <w:spacing w:after="0" w:line="193" w:lineRule="exact"/>
        <w:rPr>
          <w:sz w:val="20"/>
          <w:szCs w:val="20"/>
          <w:color w:val="auto"/>
        </w:rPr>
      </w:pPr>
    </w:p>
    <w:p>
      <w:pPr>
        <w:ind w:firstLine="435"/>
        <w:spacing w:after="0" w:line="291" w:lineRule="auto"/>
        <w:rPr>
          <w:sz w:val="20"/>
          <w:szCs w:val="20"/>
          <w:color w:val="auto"/>
        </w:rPr>
      </w:pPr>
      <w:r>
        <w:rPr>
          <w:rFonts w:ascii="Arial" w:cs="Arial" w:eastAsia="Arial" w:hAnsi="Arial"/>
          <w:sz w:val="16"/>
          <w:szCs w:val="16"/>
          <w:color w:val="auto"/>
        </w:rPr>
        <w:t>Among other things, the primary skills and experience sought by the committee and the board include relevant leadership or technical experience in the paper and packaging sectors, expertise in capital allocation and decision making, senior leadership experience in complex business environments, sustainability, governance and public policy expertise and expertise in finance, accounting and information technology systems and security. Multiple board members possess each of these attributes. Accordingly, the committee believes that the board as currently composed adequately satisfies the objectives described above, and recommended the nomination of each member for an additional term.</w:t>
      </w:r>
    </w:p>
    <w:p>
      <w:pPr>
        <w:spacing w:after="0" w:line="164" w:lineRule="exact"/>
        <w:rPr>
          <w:sz w:val="20"/>
          <w:szCs w:val="20"/>
          <w:color w:val="auto"/>
        </w:rPr>
      </w:pPr>
    </w:p>
    <w:p>
      <w:pPr>
        <w:ind w:right="120" w:firstLine="435"/>
        <w:spacing w:after="0" w:line="270" w:lineRule="auto"/>
        <w:rPr>
          <w:sz w:val="20"/>
          <w:szCs w:val="20"/>
          <w:color w:val="auto"/>
        </w:rPr>
      </w:pPr>
      <w:r>
        <w:rPr>
          <w:rFonts w:ascii="Arial" w:cs="Arial" w:eastAsia="Arial" w:hAnsi="Arial"/>
          <w:sz w:val="17"/>
          <w:szCs w:val="17"/>
          <w:color w:val="auto"/>
        </w:rPr>
        <w:t>We have not established term limits or a mandatory retirement age from our board and we believe that the tenure of our board benefits our company and our shareholders. As our board is focused on our strategic goal of operational excellence and capital management in furtherance of such goal, it is important for board members to have a high degree of familiarity with our operations. We believe that experience gained from board service promotes this objective, and has helped lead to a well-functioning and highly performing board, driving strong company performance that generates shareholder value. The median tenure of our board members is 12 years.</w:t>
      </w:r>
    </w:p>
    <w:p>
      <w:pPr>
        <w:spacing w:after="0" w:line="180" w:lineRule="exact"/>
        <w:rPr>
          <w:sz w:val="20"/>
          <w:szCs w:val="20"/>
          <w:color w:val="auto"/>
        </w:rPr>
      </w:pPr>
    </w:p>
    <w:p>
      <w:pPr>
        <w:ind w:right="260" w:firstLine="435"/>
        <w:spacing w:after="0" w:line="257" w:lineRule="auto"/>
        <w:rPr>
          <w:sz w:val="20"/>
          <w:szCs w:val="20"/>
          <w:color w:val="auto"/>
        </w:rPr>
      </w:pPr>
      <w:r>
        <w:rPr>
          <w:rFonts w:ascii="Arial" w:cs="Arial" w:eastAsia="Arial" w:hAnsi="Arial"/>
          <w:sz w:val="18"/>
          <w:szCs w:val="18"/>
          <w:color w:val="auto"/>
        </w:rPr>
        <w:t xml:space="preserve">For more information on consideration of nominees for our board, see “Other Information—Recommendations for Board Nominated Director Nominees.” The written charter of the nominating and governance committee is available on PCA’s website at </w:t>
      </w:r>
      <w:r>
        <w:rPr>
          <w:rFonts w:ascii="Arial" w:cs="Arial" w:eastAsia="Arial" w:hAnsi="Arial"/>
          <w:sz w:val="18"/>
          <w:szCs w:val="18"/>
          <w:i w:val="1"/>
          <w:iCs w:val="1"/>
          <w:color w:val="auto"/>
        </w:rPr>
        <w:t>www.packagingcorp.com</w:t>
      </w:r>
      <w:r>
        <w:rPr>
          <w:rFonts w:ascii="Arial" w:cs="Arial" w:eastAsia="Arial" w:hAnsi="Arial"/>
          <w:sz w:val="18"/>
          <w:szCs w:val="18"/>
          <w:color w:val="auto"/>
        </w:rPr>
        <w:t xml:space="preserve"> under the section Investor Relations — Corporate Governance.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00"/>
          </w:cols>
          <w:pgMar w:left="500" w:top="274" w:right="599" w:bottom="1440" w:gutter="0" w:footer="0" w:header="0"/>
        </w:sectPr>
      </w:pPr>
    </w:p>
    <w:bookmarkStart w:id="14" w:name="page15"/>
    <w:bookmarkEnd w:id="14"/>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Compensation Committee</w:t>
      </w:r>
    </w:p>
    <w:p>
      <w:pPr>
        <w:spacing w:after="0" w:line="113" w:lineRule="exact"/>
        <w:rPr>
          <w:sz w:val="20"/>
          <w:szCs w:val="20"/>
          <w:color w:val="auto"/>
        </w:rPr>
      </w:pPr>
    </w:p>
    <w:p>
      <w:pPr>
        <w:ind w:right="20" w:firstLine="435"/>
        <w:spacing w:after="0" w:line="268" w:lineRule="auto"/>
        <w:rPr>
          <w:sz w:val="20"/>
          <w:szCs w:val="20"/>
          <w:color w:val="auto"/>
        </w:rPr>
      </w:pPr>
      <w:r>
        <w:rPr>
          <w:rFonts w:ascii="Arial" w:cs="Arial" w:eastAsia="Arial" w:hAnsi="Arial"/>
          <w:sz w:val="17"/>
          <w:szCs w:val="17"/>
          <w:color w:val="auto"/>
        </w:rPr>
        <w:t>Mr. Woodrum (Chair), Mr. Mencoff, Mr. Porter and Mr. Souleles serve on the compensation committee. Mr. Woodrum will depart from the committee at the time of the 2022 annual meeting, and Mr. Souleles will become the chair of the committee at that time. Each member of the compensation committee must satisfy all independence standards applicable to compensation committee members as set forth in the rules of the SEC and the listing standards of the New York Stock Exchange. The committee must have two members that qualify as “non-employee directors” pursuant to SEC Rule 16b-3 and “outside directors” for purposes of Section 162(m) of the Internal Revenue Code of 1986, as amended (“Code Section 162(m)”). As composed, the committee satisfies these standards. The committee met seven times during 2021.</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compensation committee’s primary responsibilities include, among other things:</w:t>
      </w:r>
    </w:p>
    <w:p>
      <w:pPr>
        <w:spacing w:after="0" w:line="126" w:lineRule="exact"/>
        <w:rPr>
          <w:sz w:val="20"/>
          <w:szCs w:val="20"/>
          <w:color w:val="auto"/>
        </w:rPr>
      </w:pPr>
    </w:p>
    <w:p>
      <w:pPr>
        <w:ind w:left="960" w:hanging="420"/>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establishment of our compensation philosophy, and oversight of the development and implementation of our compensation programs;</w:t>
      </w:r>
    </w:p>
    <w:p>
      <w:pPr>
        <w:spacing w:after="0" w:line="149" w:lineRule="exact"/>
        <w:rPr>
          <w:rFonts w:ascii="Arial" w:cs="Arial" w:eastAsia="Arial" w:hAnsi="Arial"/>
          <w:sz w:val="16"/>
          <w:szCs w:val="16"/>
          <w:color w:val="auto"/>
        </w:rPr>
      </w:pPr>
    </w:p>
    <w:p>
      <w:pPr>
        <w:ind w:left="960" w:right="200" w:hanging="420"/>
        <w:spacing w:after="0" w:line="26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approval of corporate goals and objectives relevant to the compensation of the chief executive officer and the other executive officers and evaluation of their performance annually against these objectives;</w:t>
      </w:r>
    </w:p>
    <w:p>
      <w:pPr>
        <w:spacing w:after="0" w:line="85" w:lineRule="exact"/>
        <w:rPr>
          <w:rFonts w:ascii="Arial" w:cs="Arial" w:eastAsia="Arial" w:hAnsi="Arial"/>
          <w:sz w:val="18"/>
          <w:szCs w:val="18"/>
          <w:color w:val="auto"/>
        </w:rPr>
      </w:pPr>
    </w:p>
    <w:p>
      <w:pPr>
        <w:ind w:left="960" w:right="240" w:hanging="420"/>
        <w:spacing w:after="0" w:line="26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establishment of the base salary, incentive compensation and any other compensation for our chief executive officer and other executive officers; and</w:t>
      </w:r>
    </w:p>
    <w:p>
      <w:pPr>
        <w:spacing w:after="0" w:line="85" w:lineRule="exact"/>
        <w:rPr>
          <w:rFonts w:ascii="Arial" w:cs="Arial" w:eastAsia="Arial" w:hAnsi="Arial"/>
          <w:sz w:val="18"/>
          <w:szCs w:val="18"/>
          <w:color w:val="auto"/>
        </w:rPr>
      </w:pPr>
    </w:p>
    <w:p>
      <w:pPr>
        <w:ind w:left="960" w:right="260" w:hanging="420"/>
        <w:spacing w:after="0" w:line="26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monitoring our management incentive and stock-based compensation plans and discharging the duties imposed on the committee by the terms of those plans.</w:t>
      </w:r>
    </w:p>
    <w:p>
      <w:pPr>
        <w:spacing w:after="0" w:line="179" w:lineRule="exact"/>
        <w:rPr>
          <w:sz w:val="20"/>
          <w:szCs w:val="20"/>
          <w:color w:val="auto"/>
        </w:rPr>
      </w:pPr>
    </w:p>
    <w:p>
      <w:pPr>
        <w:ind w:right="100" w:firstLine="435"/>
        <w:spacing w:after="0" w:line="270" w:lineRule="auto"/>
        <w:rPr>
          <w:sz w:val="20"/>
          <w:szCs w:val="20"/>
          <w:color w:val="auto"/>
        </w:rPr>
      </w:pPr>
      <w:r>
        <w:rPr>
          <w:rFonts w:ascii="Arial" w:cs="Arial" w:eastAsia="Arial" w:hAnsi="Arial"/>
          <w:sz w:val="17"/>
          <w:szCs w:val="17"/>
          <w:color w:val="auto"/>
        </w:rPr>
        <w:t>The committee maintains a Section 162(m) subcommittee, which currently consists of Mr. Woodrum and Mr. Porter. This subcommittee has the responsibility of considering and approving compensation for our executive officers which is intended to qualify as “performance based compensation” under Code Section 162(m). Recent tax legislation has eliminated the “performance based compensation” exemption from Section 162(m)’s deduction limit, subject to transition rules. We will retain the subcommittee for the purpose of awarding equity compensation that is intended to qualify to the “short swing trading” exemption provided by Rule 16b-3 under the Securities Exchange Act of 1934.</w:t>
      </w:r>
    </w:p>
    <w:p>
      <w:pPr>
        <w:spacing w:after="0" w:line="180" w:lineRule="exact"/>
        <w:rPr>
          <w:sz w:val="20"/>
          <w:szCs w:val="20"/>
          <w:color w:val="auto"/>
        </w:rPr>
      </w:pPr>
    </w:p>
    <w:p>
      <w:pPr>
        <w:ind w:right="160" w:firstLine="435"/>
        <w:spacing w:after="0" w:line="267" w:lineRule="auto"/>
        <w:rPr>
          <w:sz w:val="20"/>
          <w:szCs w:val="20"/>
          <w:color w:val="auto"/>
        </w:rPr>
      </w:pPr>
      <w:r>
        <w:rPr>
          <w:rFonts w:ascii="Arial" w:cs="Arial" w:eastAsia="Arial" w:hAnsi="Arial"/>
          <w:sz w:val="18"/>
          <w:szCs w:val="18"/>
          <w:color w:val="auto"/>
        </w:rPr>
        <w:t xml:space="preserve">The written charters of the compensation committee and the subcommittee are available on PCA’s website at </w:t>
      </w:r>
      <w:r>
        <w:rPr>
          <w:rFonts w:ascii="Arial" w:cs="Arial" w:eastAsia="Arial" w:hAnsi="Arial"/>
          <w:sz w:val="18"/>
          <w:szCs w:val="18"/>
          <w:i w:val="1"/>
          <w:iCs w:val="1"/>
          <w:color w:val="auto"/>
        </w:rPr>
        <w:t>www.packagingcorp.com</w:t>
      </w:r>
      <w:r>
        <w:rPr>
          <w:rFonts w:ascii="Arial" w:cs="Arial" w:eastAsia="Arial" w:hAnsi="Arial"/>
          <w:sz w:val="18"/>
          <w:szCs w:val="18"/>
          <w:color w:val="auto"/>
        </w:rPr>
        <w:t xml:space="preserve"> under the section Investor Relations — Corporate Governance.</w:t>
      </w:r>
    </w:p>
    <w:p>
      <w:pPr>
        <w:spacing w:after="0" w:line="179"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The agenda for meetings of the committee and the subcommittee is determined by its chairman with the assistance of our general counsel and corporate secretary and our human resources department. Mr. Kowlzan regularly attends meetings along with members of our human resources department. Due to his familiarity with our compensation history, philosophy and objectives, Mr. Stecko also attends meetings of the committee by invitation. At meetings in which compensation decisions are made for the executive officers, the committee or subcommittee meets in executive session with no members of management present. For compensation matters on which the board acts, the chairman of the committee reports the committee’s recommendations on executive compensation to the board. Independent advisors and the human resources department support the committee and the subcommittee in their duties and may be delegated authority to fulfill certain administrative duties regarding the compensation programs. The committee has authority under its charter to retain, approve fees for and terminate advisors, consultants and agents, as it deems necessary to assist in the fulfillment of its responsibilities. Before engaging compensation consultants, independent legal counsel and other compensation advisors, the committee will assess the independence of any such persons, taking into consideration all factors relevant to that person’s independence from management.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500" w:top="274" w:right="51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Compensation Committee Interlocks and Insider Participation</w:t>
      </w:r>
    </w:p>
    <w:p>
      <w:pPr>
        <w:spacing w:after="0" w:line="219" w:lineRule="exact"/>
        <w:rPr>
          <w:sz w:val="20"/>
          <w:szCs w:val="20"/>
          <w:color w:val="auto"/>
        </w:rPr>
      </w:pPr>
    </w:p>
    <w:p>
      <w:pPr>
        <w:ind w:right="20" w:firstLine="435"/>
        <w:spacing w:after="0" w:line="257" w:lineRule="auto"/>
        <w:rPr>
          <w:sz w:val="20"/>
          <w:szCs w:val="20"/>
          <w:color w:val="auto"/>
        </w:rPr>
      </w:pPr>
      <w:r>
        <w:rPr>
          <w:rFonts w:ascii="Arial" w:cs="Arial" w:eastAsia="Arial" w:hAnsi="Arial"/>
          <w:sz w:val="18"/>
          <w:szCs w:val="18"/>
          <w:color w:val="auto"/>
        </w:rPr>
        <w:t>The compensation committee is composed of directors who are not and have not been our employees. None of our executive officers serves as a member of the board of directors or compensation committee of any entity that has one or more executive officers serving on our board or compensation committee.</w:t>
      </w:r>
    </w:p>
    <w:p>
      <w:pPr>
        <w:spacing w:after="0" w:line="188" w:lineRule="exact"/>
        <w:rPr>
          <w:sz w:val="20"/>
          <w:szCs w:val="20"/>
          <w:color w:val="auto"/>
        </w:rPr>
      </w:pPr>
    </w:p>
    <w:p>
      <w:pPr>
        <w:ind w:firstLine="435"/>
        <w:spacing w:after="0" w:line="267" w:lineRule="auto"/>
        <w:rPr>
          <w:sz w:val="20"/>
          <w:szCs w:val="20"/>
          <w:color w:val="auto"/>
        </w:rPr>
      </w:pPr>
      <w:r>
        <w:rPr>
          <w:rFonts w:ascii="Arial" w:cs="Arial" w:eastAsia="Arial" w:hAnsi="Arial"/>
          <w:sz w:val="17"/>
          <w:szCs w:val="17"/>
          <w:color w:val="auto"/>
        </w:rPr>
        <w:t>Madison Dearborn Partners, which employs Mr. Mencoff as co-Chief Executive Officer and Mr. Souleles as Managing Director, is a private equity firm that invests in companies that may purchase products or services from, or sell products and services to, us in the ordinary course of business in amounts that are not material in amount or significance. Mr. Mencoff and Mr. Souleles are not compensated directly or indirectly as a result of any such transactions, do not otherwise have an interest in such transactions and are not involved in any manner in such transactions. Mr. Mencoff may be deemed to beneficially own more than 10% of certain portfolio companies. The only transaction during 2021 involving Madison Dearborn portfolio companies to which we sold, or from which we purchased, more than $120,000 of products or services was the sale of approximately $850,000 of products and services to The Topps Company, Inc.</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3" w:lineRule="exact"/>
        <w:rPr>
          <w:sz w:val="20"/>
          <w:szCs w:val="20"/>
          <w:color w:val="auto"/>
        </w:rPr>
      </w:pPr>
    </w:p>
    <w:p>
      <w:pPr>
        <w:ind w:right="140" w:firstLine="435"/>
        <w:spacing w:after="0" w:line="252" w:lineRule="auto"/>
        <w:rPr>
          <w:sz w:val="20"/>
          <w:szCs w:val="20"/>
          <w:color w:val="auto"/>
        </w:rPr>
      </w:pPr>
      <w:r>
        <w:rPr>
          <w:rFonts w:ascii="Arial" w:cs="Arial" w:eastAsia="Arial" w:hAnsi="Arial"/>
          <w:sz w:val="18"/>
          <w:szCs w:val="18"/>
          <w:color w:val="auto"/>
        </w:rPr>
        <w:t>Ms. Beebe (Chair), Mr. Farrington, Ms. Harman, Mr. Lyons and Mr. Maurer serve on the audit committee. Each member of the audit committee must be financially literate as required under the NYSE listing standards and meet the heightened independence standards required for audit committee members under SEC rules and the NYSE listing standards. All committee members were determined to satisfy these standards. The board of directors has determined that each of Ms. Beebe, Mr. Lyons and Mr. Maurer is an “audit committee financial expert” within the meaning of SEC rules. The committee met ten times during 2021.</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audit committee’s primary responsibilities include, among other things:</w:t>
      </w:r>
    </w:p>
    <w:p>
      <w:pPr>
        <w:spacing w:after="0" w:line="126" w:lineRule="exact"/>
        <w:rPr>
          <w:sz w:val="20"/>
          <w:szCs w:val="20"/>
          <w:color w:val="auto"/>
        </w:rPr>
      </w:pPr>
    </w:p>
    <w:p>
      <w:pPr>
        <w:ind w:left="960" w:hanging="42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selection and oversight of the independent registered public accounting firm;</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oversight of the internal audit function;</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oversight of accounting policies and practices and financial reporting and internal controls;</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of the company’s practices and procedures with respect to cybersecurity;</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oversight of some aspects of our compliance programs; and</w:t>
      </w:r>
    </w:p>
    <w:p>
      <w:pPr>
        <w:spacing w:after="0" w:line="126" w:lineRule="exact"/>
        <w:rPr>
          <w:rFonts w:ascii="Arial" w:cs="Arial" w:eastAsia="Arial" w:hAnsi="Arial"/>
          <w:sz w:val="18"/>
          <w:szCs w:val="18"/>
          <w:color w:val="auto"/>
        </w:rPr>
      </w:pPr>
    </w:p>
    <w:p>
      <w:pPr>
        <w:ind w:left="960" w:right="100" w:hanging="420"/>
        <w:spacing w:after="0" w:line="26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our financial statements and financial press releases with our management and the independent registered public accounting firm.</w:t>
      </w:r>
    </w:p>
    <w:p>
      <w:pPr>
        <w:spacing w:after="0" w:line="179" w:lineRule="exact"/>
        <w:rPr>
          <w:sz w:val="20"/>
          <w:szCs w:val="20"/>
          <w:color w:val="auto"/>
        </w:rPr>
      </w:pPr>
    </w:p>
    <w:p>
      <w:pPr>
        <w:ind w:right="160" w:firstLine="435"/>
        <w:spacing w:after="0" w:line="253" w:lineRule="auto"/>
        <w:rPr>
          <w:sz w:val="20"/>
          <w:szCs w:val="20"/>
          <w:color w:val="auto"/>
        </w:rPr>
      </w:pPr>
      <w:r>
        <w:rPr>
          <w:rFonts w:ascii="Arial" w:cs="Arial" w:eastAsia="Arial" w:hAnsi="Arial"/>
          <w:sz w:val="18"/>
          <w:szCs w:val="18"/>
          <w:color w:val="auto"/>
        </w:rPr>
        <w:t>Both the independent registered public accounting firm and the internal auditors regularly meet privately with the audit committee and have unrestricted access to the audit committee. The committee meets with the internal auditors and the independent registered public accounting firm, with and without management present, to discuss the results of their examinations, their evaluations of our internal controls and the overall quality of our financial reporting.</w:t>
      </w:r>
    </w:p>
    <w:p>
      <w:pPr>
        <w:spacing w:after="0" w:line="193" w:lineRule="exact"/>
        <w:rPr>
          <w:sz w:val="20"/>
          <w:szCs w:val="20"/>
          <w:color w:val="auto"/>
        </w:rPr>
      </w:pPr>
    </w:p>
    <w:p>
      <w:pPr>
        <w:ind w:right="660" w:firstLine="435"/>
        <w:spacing w:after="0" w:line="267" w:lineRule="auto"/>
        <w:rPr>
          <w:sz w:val="20"/>
          <w:szCs w:val="20"/>
          <w:color w:val="auto"/>
        </w:rPr>
      </w:pPr>
      <w:r>
        <w:rPr>
          <w:rFonts w:ascii="Arial" w:cs="Arial" w:eastAsia="Arial" w:hAnsi="Arial"/>
          <w:sz w:val="18"/>
          <w:szCs w:val="18"/>
          <w:color w:val="auto"/>
        </w:rPr>
        <w:t xml:space="preserve">The written charter of the audit committee is available on our website at </w:t>
      </w:r>
      <w:r>
        <w:rPr>
          <w:rFonts w:ascii="Arial" w:cs="Arial" w:eastAsia="Arial" w:hAnsi="Arial"/>
          <w:sz w:val="18"/>
          <w:szCs w:val="18"/>
          <w:i w:val="1"/>
          <w:iCs w:val="1"/>
          <w:color w:val="auto"/>
        </w:rPr>
        <w:t>www.packagingcorp.com</w:t>
      </w:r>
      <w:r>
        <w:rPr>
          <w:rFonts w:ascii="Arial" w:cs="Arial" w:eastAsia="Arial" w:hAnsi="Arial"/>
          <w:sz w:val="18"/>
          <w:szCs w:val="18"/>
          <w:color w:val="auto"/>
        </w:rPr>
        <w:t xml:space="preserve"> under the section Investor Relations — Corporate Governance.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Sustainability Committee</w:t>
      </w:r>
    </w:p>
    <w:p>
      <w:pPr>
        <w:spacing w:after="0" w:line="113" w:lineRule="exact"/>
        <w:rPr>
          <w:sz w:val="20"/>
          <w:szCs w:val="20"/>
          <w:color w:val="auto"/>
        </w:rPr>
      </w:pPr>
    </w:p>
    <w:p>
      <w:pPr>
        <w:ind w:right="760" w:firstLine="435"/>
        <w:spacing w:after="0" w:line="330" w:lineRule="auto"/>
        <w:rPr>
          <w:sz w:val="20"/>
          <w:szCs w:val="20"/>
          <w:color w:val="auto"/>
        </w:rPr>
      </w:pPr>
      <w:r>
        <w:rPr>
          <w:rFonts w:ascii="Arial" w:cs="Arial" w:eastAsia="Arial" w:hAnsi="Arial"/>
          <w:sz w:val="16"/>
          <w:szCs w:val="16"/>
          <w:color w:val="auto"/>
        </w:rPr>
        <w:t>Ms. Harman (chair), Mr. Farrington, Mr. Kowlzan, Mr. Porter and Mr. Souleles serve on the sustainability committee. The sustainability committee met four times during 2021. The sustainability committee’s primary responsibilities will include, among other things:</w:t>
      </w:r>
    </w:p>
    <w:p>
      <w:pPr>
        <w:spacing w:after="0" w:line="40" w:lineRule="exact"/>
        <w:rPr>
          <w:sz w:val="20"/>
          <w:szCs w:val="20"/>
          <w:color w:val="auto"/>
        </w:rPr>
      </w:pPr>
    </w:p>
    <w:p>
      <w:pPr>
        <w:ind w:left="5360" w:right="5340" w:hanging="4820"/>
        <w:spacing w:after="0" w:line="521" w:lineRule="auto"/>
        <w:tabs>
          <w:tab w:leader="none" w:pos="971"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environmental, health and safety compliance and performance; 12</w:t>
      </w:r>
    </w:p>
    <w:p>
      <w:pPr>
        <w:sectPr>
          <w:pgSz w:w="11900" w:h="16838" w:orient="portrait"/>
          <w:cols w:equalWidth="0" w:num="1">
            <w:col w:w="10880"/>
          </w:cols>
          <w:pgMar w:left="500" w:top="274" w:right="519" w:bottom="1440" w:gutter="0" w:footer="0" w:header="0"/>
        </w:sectPr>
      </w:pPr>
    </w:p>
    <w:bookmarkStart w:id="16" w:name="page17"/>
    <w:bookmarkEnd w:id="16"/>
    <w:p>
      <w:pPr>
        <w:ind w:left="960" w:right="560" w:hanging="420"/>
        <w:spacing w:after="0" w:line="26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oversight of the company’s strategy and effectiveness with respect to environmental stewardship, climate change and sustainability matters;</w:t>
      </w:r>
    </w:p>
    <w:p>
      <w:pPr>
        <w:spacing w:after="0" w:line="85" w:lineRule="exact"/>
        <w:rPr>
          <w:rFonts w:ascii="Arial" w:cs="Arial" w:eastAsia="Arial" w:hAnsi="Arial"/>
          <w:sz w:val="18"/>
          <w:szCs w:val="18"/>
          <w:color w:val="auto"/>
        </w:rPr>
      </w:pPr>
    </w:p>
    <w:p>
      <w:pPr>
        <w:ind w:left="960" w:right="420" w:hanging="420"/>
        <w:spacing w:after="0" w:line="297"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oversight of the company’s carbon neutrality team, which identifies and assesses opportunities in the company’s operations to reduce carbon emissions through improved efficiency, shifts in fuel and energy usage and potential capital investment;</w:t>
      </w:r>
    </w:p>
    <w:p>
      <w:pPr>
        <w:spacing w:after="0" w:line="62" w:lineRule="exact"/>
        <w:rPr>
          <w:rFonts w:ascii="Arial" w:cs="Arial" w:eastAsia="Arial" w:hAnsi="Arial"/>
          <w:sz w:val="17"/>
          <w:szCs w:val="17"/>
          <w:color w:val="auto"/>
        </w:rPr>
      </w:pPr>
    </w:p>
    <w:p>
      <w:pPr>
        <w:ind w:left="960" w:right="240" w:hanging="420"/>
        <w:spacing w:after="0" w:line="26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oversight of the company’s response to the regulatory landscape involving environmental stewardship health and safety, climate change and sustainability matters; and</w:t>
      </w:r>
    </w:p>
    <w:p>
      <w:pPr>
        <w:spacing w:after="0" w:line="85" w:lineRule="exact"/>
        <w:rPr>
          <w:rFonts w:ascii="Arial" w:cs="Arial" w:eastAsia="Arial" w:hAnsi="Arial"/>
          <w:sz w:val="18"/>
          <w:szCs w:val="18"/>
          <w:color w:val="auto"/>
        </w:rPr>
      </w:pPr>
    </w:p>
    <w:p>
      <w:pPr>
        <w:ind w:left="960" w:right="800" w:hanging="420"/>
        <w:spacing w:after="0" w:line="26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oversight of the company’s reporting and communications with stakeholders on environmental stewardship, climate change and sustainability performance.</w:t>
      </w:r>
    </w:p>
    <w:p>
      <w:pPr>
        <w:spacing w:after="0" w:line="73" w:lineRule="exact"/>
        <w:rPr>
          <w:sz w:val="20"/>
          <w:szCs w:val="20"/>
          <w:color w:val="auto"/>
        </w:rPr>
      </w:pPr>
    </w:p>
    <w:p>
      <w:pPr>
        <w:ind w:right="60" w:firstLine="435"/>
        <w:spacing w:after="0" w:line="267" w:lineRule="auto"/>
        <w:rPr>
          <w:sz w:val="20"/>
          <w:szCs w:val="20"/>
          <w:color w:val="auto"/>
        </w:rPr>
      </w:pPr>
      <w:r>
        <w:rPr>
          <w:rFonts w:ascii="Arial" w:cs="Arial" w:eastAsia="Arial" w:hAnsi="Arial"/>
          <w:sz w:val="18"/>
          <w:szCs w:val="18"/>
          <w:color w:val="auto"/>
        </w:rPr>
        <w:t>The written charter of the sustainability committee is available on our website at www.packagingcorp.com under the section Investor Relations— Corporate Governance.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119" w:lineRule="exact"/>
        <w:rPr>
          <w:sz w:val="20"/>
          <w:szCs w:val="20"/>
          <w:color w:val="auto"/>
        </w:rPr>
      </w:pPr>
    </w:p>
    <w:p>
      <w:pPr>
        <w:ind w:right="340" w:firstLine="435"/>
        <w:spacing w:after="0" w:line="253" w:lineRule="auto"/>
        <w:rPr>
          <w:sz w:val="20"/>
          <w:szCs w:val="20"/>
          <w:color w:val="auto"/>
        </w:rPr>
      </w:pPr>
      <w:r>
        <w:rPr>
          <w:rFonts w:ascii="Arial" w:cs="Arial" w:eastAsia="Arial" w:hAnsi="Arial"/>
          <w:sz w:val="18"/>
          <w:szCs w:val="18"/>
          <w:color w:val="auto"/>
        </w:rPr>
        <w:t>Interested parties, including stockholders, may communicate directly with the lead director, the chairman of the audit committee, the board of directors or the independent directors as a group by writing to those individuals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or the group at the following address: c/o Kent A. Pflederer, Corporate Secretary, Packaging Corporation of America, 1 N. Field Court, Lake Forest, IL 60045. Correspondence will be forwarded to the appropriate person or persons. When reporting a concern, please supply sufficient information so that the matter may be addressed properly. Although you are encouraged to identify yourself to assist us in effectively addressing your concern, you may choose to remain anonymous, and we will use our reasonable efforts to protect your identity to the extent appropriate or permitted by law. In addition, employees may communicate confidentially any concerns related to our accounting, internal accounting controls or auditing matters, business principles or policies, or suspected violations, by calling the toll-free help line established by us. The toll-free help line is monitored by non-PCA personnel and all calls are communicated to our corporate security department. Any complaints regarding accounting, internal controls or auditing matters are forwarded directly to the chairman of the audit committee and the chief financial officer.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19" w:lineRule="exact"/>
        <w:rPr>
          <w:sz w:val="20"/>
          <w:szCs w:val="20"/>
          <w:color w:val="auto"/>
        </w:rPr>
      </w:pPr>
    </w:p>
    <w:p>
      <w:pPr>
        <w:ind w:right="20" w:firstLine="435"/>
        <w:spacing w:after="0" w:line="268" w:lineRule="auto"/>
        <w:rPr>
          <w:sz w:val="20"/>
          <w:szCs w:val="20"/>
          <w:color w:val="auto"/>
        </w:rPr>
      </w:pPr>
      <w:r>
        <w:rPr>
          <w:rFonts w:ascii="Arial" w:cs="Arial" w:eastAsia="Arial" w:hAnsi="Arial"/>
          <w:sz w:val="17"/>
          <w:szCs w:val="17"/>
          <w:color w:val="auto"/>
        </w:rPr>
        <w:t xml:space="preserve">All of our employees, including all officers, are required to abide by our Code of Ethics and Business Conduct. Also, separate Codes of Ethics for our executive officers and principal accounting personnel, as well as our directors, are in place to help ensure that our business is conducted in a consistently legal and ethical manner. These documents cover all areas of professional conduct, including employment policies, conflicts of interest, fair dealing and the protection of confidential information, as well as strict adherence to all laws and regulations applicable to the conduct of our business. The full text of our Code of Ethics and Business Conduct and the Codes of Ethics are published on our website at </w:t>
      </w:r>
      <w:r>
        <w:rPr>
          <w:rFonts w:ascii="Arial" w:cs="Arial" w:eastAsia="Arial" w:hAnsi="Arial"/>
          <w:sz w:val="17"/>
          <w:szCs w:val="17"/>
          <w:i w:val="1"/>
          <w:iCs w:val="1"/>
          <w:color w:val="auto"/>
        </w:rPr>
        <w:t>www.packagingcorp.com</w:t>
      </w:r>
      <w:r>
        <w:rPr>
          <w:rFonts w:ascii="Arial" w:cs="Arial" w:eastAsia="Arial" w:hAnsi="Arial"/>
          <w:sz w:val="17"/>
          <w:szCs w:val="17"/>
          <w:color w:val="auto"/>
        </w:rPr>
        <w:t xml:space="preserve"> under the section Investor Relations — Corporate Governance.</w:t>
      </w:r>
    </w:p>
    <w:p>
      <w:pPr>
        <w:spacing w:after="0" w:line="183" w:lineRule="exact"/>
        <w:rPr>
          <w:sz w:val="20"/>
          <w:szCs w:val="20"/>
          <w:color w:val="auto"/>
        </w:rPr>
      </w:pPr>
    </w:p>
    <w:p>
      <w:pPr>
        <w:ind w:right="260" w:firstLine="435"/>
        <w:spacing w:after="0" w:line="267" w:lineRule="auto"/>
        <w:rPr>
          <w:sz w:val="20"/>
          <w:szCs w:val="20"/>
          <w:color w:val="auto"/>
        </w:rPr>
      </w:pPr>
      <w:r>
        <w:rPr>
          <w:rFonts w:ascii="Arial" w:cs="Arial" w:eastAsia="Arial" w:hAnsi="Arial"/>
          <w:sz w:val="18"/>
          <w:szCs w:val="18"/>
          <w:color w:val="auto"/>
        </w:rPr>
        <w:t>We will disclose future amendments to, or waivers from, certain provisions of these Codes of Ethics for executive officers and directors on our website within four business days following the date of such amendment or waiver, if they occur.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19" w:lineRule="exact"/>
        <w:rPr>
          <w:sz w:val="20"/>
          <w:szCs w:val="20"/>
          <w:color w:val="auto"/>
        </w:rPr>
      </w:pPr>
    </w:p>
    <w:p>
      <w:pPr>
        <w:ind w:right="20" w:firstLine="435"/>
        <w:spacing w:after="0" w:line="257" w:lineRule="auto"/>
        <w:rPr>
          <w:sz w:val="20"/>
          <w:szCs w:val="20"/>
          <w:color w:val="auto"/>
        </w:rPr>
      </w:pPr>
      <w:r>
        <w:rPr>
          <w:rFonts w:ascii="Arial" w:cs="Arial" w:eastAsia="Arial" w:hAnsi="Arial"/>
          <w:sz w:val="18"/>
          <w:szCs w:val="18"/>
          <w:color w:val="auto"/>
        </w:rPr>
        <w:t xml:space="preserve">We have in place Corporate Governance Guidelines governing the function and performance of the board and its committees, which, among other things, sets forth the qualifications and other criteria for director nominees. The current guidelines appear on our website at </w:t>
      </w:r>
      <w:r>
        <w:rPr>
          <w:rFonts w:ascii="Arial" w:cs="Arial" w:eastAsia="Arial" w:hAnsi="Arial"/>
          <w:sz w:val="18"/>
          <w:szCs w:val="18"/>
          <w:i w:val="1"/>
          <w:iCs w:val="1"/>
          <w:color w:val="auto"/>
        </w:rPr>
        <w:t>www.packagingcorp.com</w:t>
      </w:r>
      <w:r>
        <w:rPr>
          <w:rFonts w:ascii="Arial" w:cs="Arial" w:eastAsia="Arial" w:hAnsi="Arial"/>
          <w:sz w:val="18"/>
          <w:szCs w:val="18"/>
          <w:color w:val="auto"/>
        </w:rPr>
        <w:t xml:space="preserve"> under the section Investor Relations — Corporate Governance.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500" w:top="274" w:right="5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RATIFICATION OF APPOINTMENT OF THE INDEPENDENT REGISTERED PUBLIC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FIRM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NO. 2 ON PROXY CARD</w:t>
      </w:r>
    </w:p>
    <w:p>
      <w:pPr>
        <w:spacing w:after="0" w:line="225" w:lineRule="exact"/>
        <w:rPr>
          <w:sz w:val="20"/>
          <w:szCs w:val="20"/>
          <w:color w:val="auto"/>
        </w:rPr>
      </w:pPr>
    </w:p>
    <w:p>
      <w:pPr>
        <w:ind w:right="100" w:firstLine="435"/>
        <w:spacing w:after="0" w:line="273" w:lineRule="auto"/>
        <w:rPr>
          <w:sz w:val="20"/>
          <w:szCs w:val="20"/>
          <w:color w:val="auto"/>
        </w:rPr>
      </w:pPr>
      <w:r>
        <w:rPr>
          <w:rFonts w:ascii="Arial" w:cs="Arial" w:eastAsia="Arial" w:hAnsi="Arial"/>
          <w:sz w:val="17"/>
          <w:szCs w:val="17"/>
          <w:color w:val="auto"/>
        </w:rPr>
        <w:t>The audit committee has appointed KPMG LLP as the independent registered public accounting firm to serve as our auditors for the year ending December 31, 2022, and has further directed that we submit the selection of the independent registered public accounting firm for ratification by the stockholders at the annual meeting. Representatives of KPMG LLP are expected to be present at the meeting. They will have the opportunity to make a statement if they wish to do so and will be available to respond to appropriate questions.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Ratification</w:t>
      </w:r>
    </w:p>
    <w:p>
      <w:pPr>
        <w:spacing w:after="0" w:line="119" w:lineRule="exact"/>
        <w:rPr>
          <w:sz w:val="20"/>
          <w:szCs w:val="20"/>
          <w:color w:val="auto"/>
        </w:rPr>
      </w:pPr>
    </w:p>
    <w:p>
      <w:pPr>
        <w:ind w:right="100" w:firstLine="435"/>
        <w:spacing w:after="0" w:line="295" w:lineRule="auto"/>
        <w:rPr>
          <w:sz w:val="20"/>
          <w:szCs w:val="20"/>
          <w:color w:val="auto"/>
        </w:rPr>
      </w:pPr>
      <w:r>
        <w:rPr>
          <w:rFonts w:ascii="Arial" w:cs="Arial" w:eastAsia="Arial" w:hAnsi="Arial"/>
          <w:sz w:val="16"/>
          <w:szCs w:val="16"/>
          <w:color w:val="auto"/>
        </w:rPr>
        <w:t>We are not required to submit the appointment of KPMG LLP for ratification by our stockholders. However, we are doing so as a matter of good corporate practice. If the stockholders do not ratify the appointment, the audit committee will reconsider whether or not to retain that firm. Even if the selection is ratified, the audit committee in its discretion may direct the appointment of a different independent registered public accounting firm at any time during the year if the committee determines that such an appointment would be in our best interests and that of our stockholders.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based upon the recommendation of the audit committee, unanimously</w:t>
      </w:r>
    </w:p>
    <w:p>
      <w:pPr>
        <w:spacing w:after="0" w:line="23" w:lineRule="exact"/>
        <w:rPr>
          <w:sz w:val="20"/>
          <w:szCs w:val="20"/>
          <w:color w:val="auto"/>
        </w:rPr>
      </w:pPr>
    </w:p>
    <w:p>
      <w:pPr>
        <w:jc w:val="both"/>
        <w:ind w:left="2320" w:right="2300" w:firstLine="31"/>
        <w:spacing w:after="0" w:line="395" w:lineRule="auto"/>
        <w:rPr>
          <w:sz w:val="20"/>
          <w:szCs w:val="20"/>
          <w:color w:val="auto"/>
        </w:rPr>
      </w:pPr>
      <w:r>
        <w:rPr>
          <w:rFonts w:ascii="Arial" w:cs="Arial" w:eastAsia="Arial" w:hAnsi="Arial"/>
          <w:sz w:val="14"/>
          <w:szCs w:val="14"/>
          <w:b w:val="1"/>
          <w:bCs w:val="1"/>
          <w:color w:val="auto"/>
        </w:rPr>
        <w:t xml:space="preserve">recommends a vote </w:t>
      </w:r>
      <w:r>
        <w:rPr>
          <w:rFonts w:ascii="Arial" w:cs="Arial" w:eastAsia="Arial" w:hAnsi="Arial"/>
          <w:sz w:val="14"/>
          <w:szCs w:val="14"/>
          <w:b w:val="1"/>
          <w:bCs w:val="1"/>
          <w:i w:val="1"/>
          <w:iCs w:val="1"/>
          <w:color w:val="auto"/>
        </w:rPr>
        <w:t>FOR</w:t>
      </w:r>
      <w:r>
        <w:rPr>
          <w:rFonts w:ascii="Arial" w:cs="Arial" w:eastAsia="Arial" w:hAnsi="Arial"/>
          <w:sz w:val="14"/>
          <w:szCs w:val="14"/>
          <w:b w:val="1"/>
          <w:bCs w:val="1"/>
          <w:color w:val="auto"/>
        </w:rPr>
        <w:t xml:space="preserve"> the ratification of the appointment of KPMG LLP as the independent registered public accounting firm to serve as PCA’s auditors for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to the Independent Registered Public Accounting Firm</w:t>
      </w:r>
    </w:p>
    <w:p>
      <w:pPr>
        <w:spacing w:after="0" w:line="119" w:lineRule="exact"/>
        <w:rPr>
          <w:sz w:val="20"/>
          <w:szCs w:val="20"/>
          <w:color w:val="auto"/>
        </w:rPr>
      </w:pPr>
    </w:p>
    <w:p>
      <w:pPr>
        <w:ind w:right="80" w:firstLine="435"/>
        <w:spacing w:after="0" w:line="304"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Fees to KPMG LLP for audit services totaled approximately $3,510,000 for 2020 and $3,585,000 for 2021, including, fees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with the annual audit (including internal control reporting), reviews of our quarterly reports on Form 10-Q and accounting consultations and, in 2021, fees associated with a registered public offering of debt securities, including delivery of a comfort letter to the underwriters.</w:t>
      </w:r>
    </w:p>
    <w:p>
      <w:pPr>
        <w:spacing w:after="0" w:line="154" w:lineRule="exact"/>
        <w:rPr>
          <w:sz w:val="20"/>
          <w:szCs w:val="20"/>
          <w:color w:val="auto"/>
        </w:rPr>
      </w:pPr>
    </w:p>
    <w:p>
      <w:pPr>
        <w:ind w:right="20" w:firstLine="435"/>
        <w:spacing w:after="0" w:line="26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Fees to KPMG LLP for audit-related services totaled approximately $26,000 for 2020 and $141,000 for 2021. Audit-related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principally include services reasonably related to the audit in both years.</w:t>
      </w:r>
    </w:p>
    <w:p>
      <w:pPr>
        <w:spacing w:after="0" w:line="179"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18"/>
          <w:szCs w:val="18"/>
          <w:i w:val="1"/>
          <w:iCs w:val="1"/>
          <w:color w:val="auto"/>
        </w:rPr>
        <w:t>Tax Fees.</w:t>
      </w:r>
      <w:r>
        <w:rPr>
          <w:sz w:val="20"/>
          <w:szCs w:val="20"/>
          <w:color w:val="auto"/>
        </w:rPr>
        <w:tab/>
      </w:r>
      <w:r>
        <w:rPr>
          <w:rFonts w:ascii="Arial" w:cs="Arial" w:eastAsia="Arial" w:hAnsi="Arial"/>
          <w:sz w:val="16"/>
          <w:szCs w:val="16"/>
          <w:color w:val="auto"/>
        </w:rPr>
        <w:t>Tax fees include fees for tax compliance, tax advice and tax planning services. We did not pay any tax fees to KPMG LLP in 2020 or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8"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i w:val="1"/>
          <w:iCs w:val="1"/>
          <w:color w:val="auto"/>
        </w:rPr>
        <w:t>All Other Fees.</w:t>
      </w:r>
      <w:r>
        <w:rPr>
          <w:sz w:val="20"/>
          <w:szCs w:val="20"/>
          <w:color w:val="auto"/>
        </w:rPr>
        <w:tab/>
      </w:r>
      <w:r>
        <w:rPr>
          <w:rFonts w:ascii="Arial" w:cs="Arial" w:eastAsia="Arial" w:hAnsi="Arial"/>
          <w:sz w:val="16"/>
          <w:szCs w:val="16"/>
          <w:color w:val="auto"/>
        </w:rPr>
        <w:t>We did not pay any other fees to KPMG LLP in 2020 or 2021.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for Audit and Non-Audit Services</w:t>
      </w:r>
    </w:p>
    <w:p>
      <w:pPr>
        <w:spacing w:after="0" w:line="119" w:lineRule="exact"/>
        <w:rPr>
          <w:sz w:val="20"/>
          <w:szCs w:val="20"/>
          <w:color w:val="auto"/>
        </w:rPr>
      </w:pPr>
    </w:p>
    <w:p>
      <w:pPr>
        <w:ind w:firstLine="435"/>
        <w:spacing w:after="0" w:line="288" w:lineRule="auto"/>
        <w:rPr>
          <w:sz w:val="20"/>
          <w:szCs w:val="20"/>
          <w:color w:val="auto"/>
        </w:rPr>
      </w:pPr>
      <w:r>
        <w:rPr>
          <w:rFonts w:ascii="Arial" w:cs="Arial" w:eastAsia="Arial" w:hAnsi="Arial"/>
          <w:sz w:val="16"/>
          <w:szCs w:val="16"/>
          <w:color w:val="auto"/>
        </w:rPr>
        <w:t>Pursuant to its written charter, the audit committee is responsible for adopting, and has adopted, a policy to pre-approve all audit and permitted non-audit services to be performed for us by the independent registered public accounting firm. Prior to engagement of the independent registered public accounting firm for the next year’s audit, we or the independent registered public accounting firm submit to the committee for approval an aggregate request of services expected to be rendered during that year for each of the four categories of services outlined above. Prior to engagement, the committee pre-approves these services by category of service. The fees are budgeted and the committee requires the independent registered public accounting firm and us to report actual fees versus the budget periodically throughout the year by category of service. During the year,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500" w:top="268" w:right="539" w:bottom="1440" w:gutter="0" w:footer="0" w:header="0"/>
        </w:sectPr>
      </w:pPr>
    </w:p>
    <w:bookmarkStart w:id="18" w:name="page19"/>
    <w:bookmarkEnd w:id="18"/>
    <w:p>
      <w:pPr>
        <w:ind w:right="6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circumstances may arise when it may become necessary to engage the independent registered public accounting firm for additional services not contemplated in the original pre-approval. In those instances, the audit committee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requires specific pre-approval before engaging the independent registered public accounting firm. The committee may delegate pre-approval authority to one or more of its members. The member or members to whom such authority is delegated must report, for information purposes only, any pre-approval decisions to the entire audit committee at its next scheduled meeting.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19" w:lineRule="exact"/>
        <w:rPr>
          <w:sz w:val="20"/>
          <w:szCs w:val="20"/>
          <w:color w:val="auto"/>
        </w:rPr>
      </w:pPr>
    </w:p>
    <w:p>
      <w:pPr>
        <w:ind w:right="60" w:firstLine="435"/>
        <w:spacing w:after="0" w:line="330" w:lineRule="auto"/>
        <w:rPr>
          <w:sz w:val="20"/>
          <w:szCs w:val="20"/>
          <w:color w:val="auto"/>
        </w:rPr>
      </w:pPr>
      <w:r>
        <w:rPr>
          <w:rFonts w:ascii="Arial" w:cs="Arial" w:eastAsia="Arial" w:hAnsi="Arial"/>
          <w:sz w:val="16"/>
          <w:szCs w:val="16"/>
          <w:color w:val="auto"/>
        </w:rPr>
        <w:t>The following report does not constitute soliciting material and should not be deemed filed or incorporated by reference into any other PCA filing under the Securities Act of 1933 or the Securities Exchange Act of 1934, except to the extent that we specifically incorporate this report.</w:t>
      </w:r>
    </w:p>
    <w:p>
      <w:pPr>
        <w:spacing w:after="0" w:line="134" w:lineRule="exact"/>
        <w:rPr>
          <w:sz w:val="20"/>
          <w:szCs w:val="20"/>
          <w:color w:val="auto"/>
        </w:rPr>
      </w:pPr>
    </w:p>
    <w:p>
      <w:pPr>
        <w:ind w:right="60" w:firstLine="435"/>
        <w:spacing w:after="0" w:line="295" w:lineRule="auto"/>
        <w:rPr>
          <w:sz w:val="20"/>
          <w:szCs w:val="20"/>
          <w:color w:val="auto"/>
        </w:rPr>
      </w:pPr>
      <w:r>
        <w:rPr>
          <w:rFonts w:ascii="Arial" w:cs="Arial" w:eastAsia="Arial" w:hAnsi="Arial"/>
          <w:sz w:val="16"/>
          <w:szCs w:val="16"/>
          <w:color w:val="auto"/>
        </w:rPr>
        <w:t>Management is responsible for PCA’s internal controls and the financial reporting process. The independent registered public accounting firm has the responsibility for performing an audit of our financial statements in accordance with the standards of the Public Company Accounting Oversight Board (United States) and for expressing an opinion on those financial statements based on its audit as well as expressing an opinion on the effectiveness of internal control over financial reporting. The audit committee reviews these processes on behalf of the board of directors.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financial statements for the year ended December 31, 2021, the audit committee has:</w:t>
      </w:r>
    </w:p>
    <w:p>
      <w:pPr>
        <w:spacing w:after="0" w:line="113" w:lineRule="exact"/>
        <w:rPr>
          <w:sz w:val="20"/>
          <w:szCs w:val="20"/>
          <w:color w:val="auto"/>
        </w:rPr>
      </w:pPr>
    </w:p>
    <w:p>
      <w:pPr>
        <w:ind w:left="700" w:hanging="259"/>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w:t>
      </w:r>
    </w:p>
    <w:p>
      <w:pPr>
        <w:spacing w:after="0" w:line="219" w:lineRule="exact"/>
        <w:rPr>
          <w:rFonts w:ascii="Arial" w:cs="Arial" w:eastAsia="Arial" w:hAnsi="Arial"/>
          <w:sz w:val="18"/>
          <w:szCs w:val="18"/>
          <w:color w:val="auto"/>
        </w:rPr>
      </w:pPr>
    </w:p>
    <w:p>
      <w:pPr>
        <w:ind w:right="480" w:firstLine="441"/>
        <w:spacing w:after="0" w:line="297" w:lineRule="auto"/>
        <w:tabs>
          <w:tab w:leader="none" w:pos="6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discussed with KPMG LLP, PCA’s independent registered public accounting firm, the matters required to be discussed by the applicable requirements of the Public Company Accounting Oversight Board and the Securities and Exchange Commission; and</w:t>
      </w:r>
    </w:p>
    <w:p>
      <w:pPr>
        <w:spacing w:after="0" w:line="155" w:lineRule="exact"/>
        <w:rPr>
          <w:rFonts w:ascii="Arial" w:cs="Arial" w:eastAsia="Arial" w:hAnsi="Arial"/>
          <w:sz w:val="17"/>
          <w:szCs w:val="17"/>
          <w:color w:val="auto"/>
        </w:rPr>
      </w:pPr>
    </w:p>
    <w:p>
      <w:pPr>
        <w:ind w:right="140" w:firstLine="441"/>
        <w:spacing w:after="0" w:line="257" w:lineRule="auto"/>
        <w:tabs>
          <w:tab w:leader="none" w:pos="6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received the written disclosure and letter from such independent registered accounting firm required by applicable requirements of the Public Company Accounting Oversight Board regarding its communications with the audit committee concerning independence, and has discussed with our independent registered public accounting firm the independence of such firm.</w:t>
      </w:r>
    </w:p>
    <w:p>
      <w:pPr>
        <w:spacing w:after="0" w:line="188" w:lineRule="exact"/>
        <w:rPr>
          <w:sz w:val="20"/>
          <w:szCs w:val="20"/>
          <w:color w:val="auto"/>
        </w:rPr>
      </w:pPr>
    </w:p>
    <w:p>
      <w:pPr>
        <w:ind w:right="100" w:firstLine="435"/>
        <w:spacing w:after="0" w:line="279" w:lineRule="auto"/>
        <w:rPr>
          <w:sz w:val="20"/>
          <w:szCs w:val="20"/>
          <w:color w:val="auto"/>
        </w:rPr>
      </w:pPr>
      <w:r>
        <w:rPr>
          <w:rFonts w:ascii="Arial" w:cs="Arial" w:eastAsia="Arial" w:hAnsi="Arial"/>
          <w:sz w:val="17"/>
          <w:szCs w:val="17"/>
          <w:color w:val="auto"/>
        </w:rPr>
        <w:t>Based upon these reviews and discussions, the audit committee recommended to the board of directors at its February 23, 2022 meeting that PCA’s audited financial statements be included in the Annual Report on Form 10-K for the year ended December 31, 2021 for filing with the Securities and Exchange Commission. Upon recommendation of the audit committee, the board approved such inclusion.</w:t>
      </w:r>
    </w:p>
    <w:p>
      <w:pPr>
        <w:spacing w:after="0" w:line="318" w:lineRule="exact"/>
        <w:rPr>
          <w:sz w:val="20"/>
          <w:szCs w:val="20"/>
          <w:color w:val="auto"/>
        </w:rPr>
      </w:pPr>
    </w:p>
    <w:p>
      <w:pPr>
        <w:ind w:left="568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Cheryl K. Beebe, Chair</w:t>
      </w:r>
    </w:p>
    <w:p>
      <w:pPr>
        <w:spacing w:after="0" w:line="1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Duane C. Farrington</w:t>
      </w:r>
    </w:p>
    <w:p>
      <w:pPr>
        <w:spacing w:after="0" w:line="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Donna A. Harman</w:t>
      </w:r>
    </w:p>
    <w:p>
      <w:pPr>
        <w:spacing w:after="0" w:line="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Robert C. Lyons</w:t>
      </w:r>
    </w:p>
    <w:p>
      <w:pPr>
        <w:spacing w:after="0" w:line="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Thomas P. Maurer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500" w:top="274" w:right="5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PROPOSAL ON EXECUTIVE COMPENSATION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NO. 3 ON PROXY CARD</w:t>
      </w:r>
    </w:p>
    <w:p>
      <w:pPr>
        <w:spacing w:after="0" w:line="225"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We are requesting our stockholders to approve an advisory resolution on the compensation for our named executive officers, which is more fully described in this proxy statement. Please refer to the “Compensation Discussion and Analysis” and “Executive Officer and Director Compensation” sections of this proxy statement immediately following to find information regarding the compensation paid to our named executive officers and a complete discussion of our compensation program.</w:t>
      </w:r>
    </w:p>
    <w:p>
      <w:pPr>
        <w:spacing w:after="0" w:line="193" w:lineRule="exact"/>
        <w:rPr>
          <w:sz w:val="20"/>
          <w:szCs w:val="20"/>
          <w:color w:val="auto"/>
        </w:rPr>
      </w:pPr>
    </w:p>
    <w:p>
      <w:pPr>
        <w:ind w:right="100" w:firstLine="435"/>
        <w:spacing w:after="0" w:line="273" w:lineRule="auto"/>
        <w:rPr>
          <w:sz w:val="20"/>
          <w:szCs w:val="20"/>
          <w:color w:val="auto"/>
        </w:rPr>
      </w:pPr>
      <w:r>
        <w:rPr>
          <w:rFonts w:ascii="Arial" w:cs="Arial" w:eastAsia="Arial" w:hAnsi="Arial"/>
          <w:sz w:val="17"/>
          <w:szCs w:val="17"/>
          <w:color w:val="auto"/>
        </w:rPr>
        <w:t>We believe that our compensation is appropriate to further our business objectives, is competitive and aligns the interests of management and our stockholders. We believe that our program has been a key factor in the successful management of our company, driving our consistently strong performance in the paper and packaging industry. We discuss our compensation philosophy, the elements of compensation and our compensation decisions in more detail in the “Compensation Discussion and Analysis” immediately following.</w:t>
      </w:r>
    </w:p>
    <w:p>
      <w:pPr>
        <w:spacing w:after="0" w:line="177" w:lineRule="exact"/>
        <w:rPr>
          <w:sz w:val="20"/>
          <w:szCs w:val="20"/>
          <w:color w:val="auto"/>
        </w:rPr>
      </w:pPr>
    </w:p>
    <w:p>
      <w:pPr>
        <w:ind w:firstLine="435"/>
        <w:spacing w:after="0" w:line="257" w:lineRule="auto"/>
        <w:rPr>
          <w:sz w:val="20"/>
          <w:szCs w:val="20"/>
          <w:color w:val="auto"/>
        </w:rPr>
      </w:pPr>
      <w:r>
        <w:rPr>
          <w:rFonts w:ascii="Arial" w:cs="Arial" w:eastAsia="Arial" w:hAnsi="Arial"/>
          <w:sz w:val="18"/>
          <w:szCs w:val="18"/>
          <w:color w:val="auto"/>
        </w:rPr>
        <w:t>We will continue to hold annual advisory votes on the compensation of our named executive officers until the next required stockholder advisory vote on the frequency of advisory votes on executive compensation. We are asking stockholders to approve the following advisory resolution at the 2022 Annual Meeting:</w:t>
      </w:r>
    </w:p>
    <w:p>
      <w:pPr>
        <w:spacing w:after="0" w:line="81" w:lineRule="exact"/>
        <w:rPr>
          <w:sz w:val="20"/>
          <w:szCs w:val="20"/>
          <w:color w:val="auto"/>
        </w:rPr>
      </w:pPr>
    </w:p>
    <w:p>
      <w:pPr>
        <w:ind w:left="440" w:right="40"/>
        <w:spacing w:after="0" w:line="304" w:lineRule="auto"/>
        <w:rPr>
          <w:sz w:val="20"/>
          <w:szCs w:val="20"/>
          <w:color w:val="auto"/>
        </w:rPr>
      </w:pPr>
      <w:r>
        <w:rPr>
          <w:rFonts w:ascii="Arial" w:cs="Arial" w:eastAsia="Arial" w:hAnsi="Arial"/>
          <w:sz w:val="16"/>
          <w:szCs w:val="16"/>
          <w:color w:val="auto"/>
        </w:rPr>
        <w:t>RESOLVED, that the stockholders approve, on an advisory basis, the compensation of PCA’s named executive officers as disclosed in the Proxy Statement for the Company’s 2022 Annual Meeting of Stockholders pursuant to the compensation disclosure rules of the Securities and Exchange Commission, including the Compensation Discussion and Analysis, the Summary Compensation Table and the related compensation tables.</w:t>
      </w:r>
    </w:p>
    <w:p>
      <w:pPr>
        <w:spacing w:after="0" w:line="154" w:lineRule="exact"/>
        <w:rPr>
          <w:sz w:val="20"/>
          <w:szCs w:val="20"/>
          <w:color w:val="auto"/>
        </w:rPr>
      </w:pPr>
    </w:p>
    <w:p>
      <w:pPr>
        <w:ind w:right="80" w:firstLine="435"/>
        <w:spacing w:after="0" w:line="297" w:lineRule="auto"/>
        <w:rPr>
          <w:sz w:val="20"/>
          <w:szCs w:val="20"/>
          <w:color w:val="auto"/>
        </w:rPr>
      </w:pPr>
      <w:r>
        <w:rPr>
          <w:rFonts w:ascii="Arial" w:cs="Arial" w:eastAsia="Arial" w:hAnsi="Arial"/>
          <w:sz w:val="17"/>
          <w:szCs w:val="17"/>
          <w:color w:val="auto"/>
        </w:rPr>
        <w:t>This advisory resolution, commonly referred to as a “say-on-pay” resolution, is non-binding on the board of directors and the company. Although non-binding, we will carefully review and consider the voting results when evaluating our executive compensation program.</w:t>
      </w:r>
    </w:p>
    <w:p>
      <w:pPr>
        <w:spacing w:after="0" w:line="150" w:lineRule="exact"/>
        <w:rPr>
          <w:sz w:val="20"/>
          <w:szCs w:val="20"/>
          <w:color w:val="auto"/>
        </w:rPr>
      </w:pPr>
    </w:p>
    <w:p>
      <w:pPr>
        <w:jc w:val="center"/>
        <w:ind w:left="520" w:right="1560"/>
        <w:spacing w:after="0" w:line="260" w:lineRule="auto"/>
        <w:rPr>
          <w:sz w:val="20"/>
          <w:szCs w:val="20"/>
          <w:color w:val="auto"/>
        </w:rPr>
      </w:pPr>
      <w:r>
        <w:rPr>
          <w:rFonts w:ascii="Arial" w:cs="Arial" w:eastAsia="Arial" w:hAnsi="Arial"/>
          <w:sz w:val="18"/>
          <w:szCs w:val="18"/>
          <w:b w:val="1"/>
          <w:bCs w:val="1"/>
          <w:color w:val="auto"/>
        </w:rPr>
        <w:t xml:space="preserve">The board of directors, based upon the recommendation of the compensation committee, unanimously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approval of the advisory resolution approving our executive compensation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500" w:top="268" w:right="5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COMPENSATION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Objectives</w:t>
      </w:r>
    </w:p>
    <w:p>
      <w:pPr>
        <w:spacing w:after="0" w:line="119" w:lineRule="exact"/>
        <w:rPr>
          <w:sz w:val="20"/>
          <w:szCs w:val="20"/>
          <w:color w:val="auto"/>
        </w:rPr>
      </w:pPr>
    </w:p>
    <w:p>
      <w:pPr>
        <w:ind w:right="180" w:firstLine="435"/>
        <w:spacing w:after="0" w:line="267" w:lineRule="auto"/>
        <w:rPr>
          <w:sz w:val="20"/>
          <w:szCs w:val="20"/>
          <w:color w:val="auto"/>
        </w:rPr>
      </w:pPr>
      <w:r>
        <w:rPr>
          <w:rFonts w:ascii="Arial" w:cs="Arial" w:eastAsia="Arial" w:hAnsi="Arial"/>
          <w:sz w:val="18"/>
          <w:szCs w:val="18"/>
          <w:color w:val="auto"/>
        </w:rPr>
        <w:t>The compensation committee of our board of directors oversees the executive compensation program. The committee intends for the program to accomplish the following:</w:t>
      </w:r>
    </w:p>
    <w:p>
      <w:pPr>
        <w:spacing w:after="0" w:line="86" w:lineRule="exact"/>
        <w:rPr>
          <w:sz w:val="20"/>
          <w:szCs w:val="20"/>
          <w:color w:val="auto"/>
        </w:rPr>
      </w:pPr>
    </w:p>
    <w:p>
      <w:pPr>
        <w:ind w:left="960" w:hanging="4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reinforce a results-oriented management culture with total executive compensation that varies according to performance;</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focus executive officers on both annual and long-term business objectives with the goal of creating stockholder value;</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align the interests of our executives and stockholders through equity-based compensation awards; and</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provide executive compensation packages that attract, retain and motivate individuals of the highest qualifications, experience and ability.</w:t>
      </w:r>
    </w:p>
    <w:p>
      <w:pPr>
        <w:spacing w:after="0" w:line="242" w:lineRule="exact"/>
        <w:rPr>
          <w:sz w:val="20"/>
          <w:szCs w:val="20"/>
          <w:color w:val="auto"/>
        </w:rPr>
      </w:pPr>
    </w:p>
    <w:p>
      <w:pPr>
        <w:ind w:right="160" w:firstLine="435"/>
        <w:spacing w:after="0" w:line="267" w:lineRule="auto"/>
        <w:rPr>
          <w:sz w:val="20"/>
          <w:szCs w:val="20"/>
          <w:color w:val="auto"/>
        </w:rPr>
      </w:pPr>
      <w:r>
        <w:rPr>
          <w:rFonts w:ascii="Arial" w:cs="Arial" w:eastAsia="Arial" w:hAnsi="Arial"/>
          <w:sz w:val="18"/>
          <w:szCs w:val="18"/>
          <w:color w:val="auto"/>
        </w:rPr>
        <w:t>The committee believes that these objectives have been accomplished, with the company’s management driving consistently strong performance in our industry and substantial returns for our investors since our inception.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w:t>
      </w:r>
    </w:p>
    <w:p>
      <w:pPr>
        <w:spacing w:after="0" w:line="119" w:lineRule="exact"/>
        <w:rPr>
          <w:sz w:val="20"/>
          <w:szCs w:val="20"/>
          <w:color w:val="auto"/>
        </w:rPr>
      </w:pPr>
    </w:p>
    <w:p>
      <w:pPr>
        <w:ind w:right="340" w:firstLine="435"/>
        <w:spacing w:after="0" w:line="268" w:lineRule="auto"/>
        <w:rPr>
          <w:sz w:val="20"/>
          <w:szCs w:val="20"/>
          <w:color w:val="auto"/>
        </w:rPr>
      </w:pPr>
      <w:r>
        <w:rPr>
          <w:rFonts w:ascii="Arial" w:cs="Arial" w:eastAsia="Arial" w:hAnsi="Arial"/>
          <w:sz w:val="17"/>
          <w:szCs w:val="17"/>
          <w:color w:val="auto"/>
        </w:rPr>
        <w:t>PCA had an exceptional year in 2021. PCA generated record earnings and continued to conduct safe operations through the pandemic and is managing through transportation and supply chain challenges, including material, equipment and labor availability issues. PCA experienced strong earnings growth, with its highest ever containerboard production and corrugated products shipments during the year, as corrugated products demand remained very strong. The company is successfully executing numerous capital projects throughout its operations, providing necessary capacity and operating efficiencies to allow PCA to serve its customers and reduce costs to combat inflation across the business. Most importantly, PCA’s people performed at the highest levels in all areas to achieve the company’s success.</w:t>
      </w:r>
    </w:p>
    <w:p>
      <w:pPr>
        <w:spacing w:after="0" w:line="182" w:lineRule="exact"/>
        <w:rPr>
          <w:sz w:val="20"/>
          <w:szCs w:val="20"/>
          <w:color w:val="auto"/>
        </w:rPr>
      </w:pPr>
    </w:p>
    <w:p>
      <w:pPr>
        <w:ind w:firstLine="435"/>
        <w:spacing w:after="0" w:line="252" w:lineRule="auto"/>
        <w:rPr>
          <w:sz w:val="20"/>
          <w:szCs w:val="20"/>
          <w:color w:val="auto"/>
        </w:rPr>
      </w:pPr>
      <w:r>
        <w:rPr>
          <w:rFonts w:ascii="Arial" w:cs="Arial" w:eastAsia="Arial" w:hAnsi="Arial"/>
          <w:sz w:val="18"/>
          <w:szCs w:val="18"/>
          <w:color w:val="auto"/>
        </w:rPr>
        <w:t>Reported earnings per share, including special items, were $8.83 in 2021 compared to $4.84 in 2020. Earnings per share, excluding special items</w:t>
      </w:r>
      <w:r>
        <w:rPr>
          <w:rFonts w:ascii="Arial" w:cs="Arial" w:eastAsia="Arial" w:hAnsi="Arial"/>
          <w:sz w:val="15"/>
          <w:szCs w:val="15"/>
          <w:color w:val="auto"/>
        </w:rPr>
        <w:t>1</w:t>
      </w:r>
      <w:r>
        <w:rPr>
          <w:rFonts w:ascii="Arial" w:cs="Arial" w:eastAsia="Arial" w:hAnsi="Arial"/>
          <w:sz w:val="18"/>
          <w:szCs w:val="18"/>
          <w:color w:val="auto"/>
        </w:rPr>
        <w:t>, were $9.39 in 2021 compared to $5.78 in 2020. Earnings growth was driven by higher volume and corrugated products pricing, partially offset by higher operating costs across the business. PCA achieved all-time record containerboard production and corrugated products shipments for the year. The company continued to maintain strong margins and cash flows, bolstering its ability to execute its long-term strategic plans and balanced and disciplined approach to capital management.</w:t>
      </w:r>
    </w:p>
    <w:p>
      <w:pPr>
        <w:spacing w:after="0" w:line="194" w:lineRule="exact"/>
        <w:rPr>
          <w:sz w:val="20"/>
          <w:szCs w:val="20"/>
          <w:color w:val="auto"/>
        </w:rPr>
      </w:pPr>
    </w:p>
    <w:p>
      <w:pPr>
        <w:ind w:right="360" w:firstLine="435"/>
        <w:spacing w:after="0" w:line="267" w:lineRule="auto"/>
        <w:rPr>
          <w:sz w:val="20"/>
          <w:szCs w:val="20"/>
          <w:color w:val="auto"/>
        </w:rPr>
      </w:pPr>
      <w:r>
        <w:rPr>
          <w:rFonts w:ascii="Arial" w:cs="Arial" w:eastAsia="Arial" w:hAnsi="Arial"/>
          <w:sz w:val="18"/>
          <w:szCs w:val="18"/>
          <w:color w:val="auto"/>
        </w:rPr>
        <w:t>PCA’s performance has rewarded its shareholders with significant long-term growth. Through the end of 2021, PCA’s one, three and five year cumulative total stockholder return (assuming reinvestment of dividends) is as follows:</w:t>
      </w:r>
    </w:p>
    <w:p>
      <w:pPr>
        <w:spacing w:after="0" w:line="218" w:lineRule="exact"/>
        <w:rPr>
          <w:sz w:val="20"/>
          <w:szCs w:val="20"/>
          <w:color w:val="auto"/>
        </w:rPr>
      </w:pPr>
    </w:p>
    <w:tbl>
      <w:tblPr>
        <w:tblLayout w:type="fixed"/>
        <w:tblInd w:w="4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One year:</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Three year:</w:t>
            </w:r>
          </w:p>
        </w:tc>
        <w:tc>
          <w:tcPr>
            <w:tcW w:w="484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213"/>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Five year:</w:t>
            </w:r>
          </w:p>
        </w:tc>
        <w:tc>
          <w:tcPr>
            <w:tcW w:w="4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531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54" w:lineRule="exact"/>
        <w:rPr>
          <w:sz w:val="20"/>
          <w:szCs w:val="20"/>
          <w:color w:val="auto"/>
        </w:rPr>
      </w:pPr>
    </w:p>
    <w:p>
      <w:pPr>
        <w:ind w:left="220" w:right="220" w:hanging="213"/>
        <w:spacing w:after="0" w:line="270"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7"/>
          <w:szCs w:val="17"/>
          <w:color w:val="auto"/>
        </w:rPr>
        <w:t>Earnings per share excluding special items is a Non-GAAP financial measure, which we present throughout this proxy statement. Important information relating to our use of this Non-GAAP financial measure and a reconciliation of this Non-GAAP financial measure to the most comparable financial measure presented in accordance with Generally Accepted Accounting Principles (GAAP) are included on ANNEX A to this proxy statement as well as in Item 7 of our Annual Report on Form 10-K for the year ended December 31, 2021 under the captions “Executive Summary” and “Reconciliations of Non-GAAP Financial Measures to Reported Amounts.”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500" w:top="268" w:right="51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2021 Compensation Program Summary</w:t>
      </w:r>
    </w:p>
    <w:p>
      <w:pPr>
        <w:spacing w:after="0" w:line="113" w:lineRule="exact"/>
        <w:rPr>
          <w:sz w:val="20"/>
          <w:szCs w:val="20"/>
          <w:color w:val="auto"/>
        </w:rPr>
      </w:pPr>
    </w:p>
    <w:p>
      <w:pPr>
        <w:ind w:right="200" w:firstLine="435"/>
        <w:spacing w:after="0" w:line="273" w:lineRule="auto"/>
        <w:rPr>
          <w:sz w:val="20"/>
          <w:szCs w:val="20"/>
          <w:color w:val="auto"/>
        </w:rPr>
      </w:pPr>
      <w:r>
        <w:rPr>
          <w:rFonts w:ascii="Arial" w:cs="Arial" w:eastAsia="Arial" w:hAnsi="Arial"/>
          <w:sz w:val="17"/>
          <w:szCs w:val="17"/>
          <w:color w:val="auto"/>
        </w:rPr>
        <w:t>PCA regularly reviews its compensation program and structure, both to assure appropriate incentives to drive industry-leading performance and alignment with the expectations of its shareholders. PCA’s compensation program emphasizes long-term performance, with long-term equity awards comprising the majority of compensation for our CEO. PCA’s annual incentive compensation and two-thirds of PCA’s long-term equity compensation are “at-risk” and paid out subject to performance against objective performance measures.</w:t>
      </w:r>
    </w:p>
    <w:p>
      <w:pPr>
        <w:spacing w:after="0" w:line="177" w:lineRule="exact"/>
        <w:rPr>
          <w:sz w:val="20"/>
          <w:szCs w:val="20"/>
          <w:color w:val="auto"/>
        </w:rPr>
      </w:pPr>
    </w:p>
    <w:p>
      <w:pPr>
        <w:ind w:right="20" w:firstLine="435"/>
        <w:spacing w:after="0" w:line="330" w:lineRule="auto"/>
        <w:rPr>
          <w:sz w:val="20"/>
          <w:szCs w:val="20"/>
          <w:color w:val="auto"/>
        </w:rPr>
      </w:pPr>
      <w:r>
        <w:rPr>
          <w:rFonts w:ascii="Arial" w:cs="Arial" w:eastAsia="Arial" w:hAnsi="Arial"/>
          <w:sz w:val="16"/>
          <w:szCs w:val="16"/>
          <w:color w:val="auto"/>
        </w:rPr>
        <w:t>Our CEO’s 2021 target awarded compensation was $10.4 million and “actual awarded compensation was $11.8 million. “Awarded compensation” includes salary, the grant date fair value of stock awards and the annual cash incentive award. The elements of compensation were as follows:</w:t>
      </w:r>
    </w:p>
    <w:p>
      <w:pPr>
        <w:spacing w:after="0" w:line="40" w:lineRule="exact"/>
        <w:rPr>
          <w:sz w:val="20"/>
          <w:szCs w:val="20"/>
          <w:color w:val="auto"/>
        </w:rPr>
      </w:pPr>
    </w:p>
    <w:p>
      <w:pPr>
        <w:ind w:left="960" w:right="560" w:hanging="420"/>
        <w:spacing w:after="0" w:line="26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Our CEO’s 2021 salary was $1.4 million, which was 14% of target awarded compensation and 12% of actual awarded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w:t>
      </w:r>
    </w:p>
    <w:p>
      <w:pPr>
        <w:spacing w:after="0" w:line="85" w:lineRule="exact"/>
        <w:rPr>
          <w:rFonts w:ascii="Arial" w:cs="Arial" w:eastAsia="Arial" w:hAnsi="Arial"/>
          <w:sz w:val="18"/>
          <w:szCs w:val="18"/>
          <w:color w:val="auto"/>
        </w:rPr>
      </w:pPr>
    </w:p>
    <w:p>
      <w:pPr>
        <w:ind w:left="960" w:right="40" w:hanging="420"/>
        <w:spacing w:after="0" w:line="25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Annual incentive award</w:t>
      </w:r>
      <w:r>
        <w:rPr>
          <w:rFonts w:ascii="Arial" w:cs="Arial" w:eastAsia="Arial" w:hAnsi="Arial"/>
          <w:sz w:val="18"/>
          <w:szCs w:val="18"/>
          <w:color w:val="auto"/>
        </w:rPr>
        <w:t>. Our officers may earn an annual cash incentive award, which is determined based upon our earnings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Our CEO’s target award of $2.334 million was 22% of target awarded compensation. Awards paid out based upon performance against PCA’s earnings per share goal for the year. Actual awards paid out at approximately 154% of target, which for the CEO was $3.6 million and 31% of actual awarded compensation.</w:t>
      </w:r>
    </w:p>
    <w:p>
      <w:pPr>
        <w:spacing w:after="0" w:line="100" w:lineRule="exact"/>
        <w:rPr>
          <w:rFonts w:ascii="Arial" w:cs="Arial" w:eastAsia="Arial" w:hAnsi="Arial"/>
          <w:sz w:val="18"/>
          <w:szCs w:val="18"/>
          <w:color w:val="auto"/>
        </w:rPr>
      </w:pPr>
    </w:p>
    <w:p>
      <w:pPr>
        <w:ind w:left="960" w:right="160" w:hanging="420"/>
        <w:spacing w:after="0" w:line="295"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Long-term equity awards</w:t>
      </w:r>
      <w:r>
        <w:rPr>
          <w:rFonts w:ascii="Arial" w:cs="Arial" w:eastAsia="Arial" w:hAnsi="Arial"/>
          <w:sz w:val="16"/>
          <w:szCs w:val="16"/>
          <w:color w:val="auto"/>
        </w:rPr>
        <w:t>. Long-term equity awards consisted of approximately equal portions of time-vesting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units using return on invested capital as a performance measure (ROIC units) and performance units using total shareholder return as a performance measure (TSR Units). The grant date value of the long-term equity awards for our CEO was $6.7 million, which comprised 64% of our CEO’s target awarded compensation and 57% of actual awarded compensation for the year.</w:t>
      </w:r>
    </w:p>
    <w:p>
      <w:pPr>
        <w:spacing w:after="0" w:line="162" w:lineRule="exact"/>
        <w:rPr>
          <w:sz w:val="20"/>
          <w:szCs w:val="20"/>
          <w:color w:val="auto"/>
        </w:rPr>
      </w:pPr>
    </w:p>
    <w:p>
      <w:pPr>
        <w:ind w:right="100" w:firstLine="435"/>
        <w:spacing w:after="0" w:line="253" w:lineRule="auto"/>
        <w:rPr>
          <w:sz w:val="20"/>
          <w:szCs w:val="20"/>
          <w:color w:val="auto"/>
        </w:rPr>
      </w:pPr>
      <w:r>
        <w:rPr>
          <w:rFonts w:ascii="Arial" w:cs="Arial" w:eastAsia="Arial" w:hAnsi="Arial"/>
          <w:sz w:val="18"/>
          <w:szCs w:val="18"/>
          <w:color w:val="auto"/>
        </w:rPr>
        <w:t>PCA’s actual awarded compensation for 2021 for our CEO increased approximately 28% from 2020 awarded compensation. The increase was primarily due to higher cash incentive awards, which were approximately 55% higher than 2020, as PCA’s earnings significantly exceeded the target goal for the award, resulting in maximum payout and annual equity awards, which were approximately 21% higher than 2020, driven by a higher stock price in 2021 compared to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Say on Pay Vote</w:t>
      </w:r>
    </w:p>
    <w:p>
      <w:pPr>
        <w:spacing w:after="0" w:line="113" w:lineRule="exact"/>
        <w:rPr>
          <w:sz w:val="20"/>
          <w:szCs w:val="20"/>
          <w:color w:val="auto"/>
        </w:rPr>
      </w:pPr>
    </w:p>
    <w:p>
      <w:pPr>
        <w:ind w:right="40" w:firstLine="435"/>
        <w:spacing w:after="0" w:line="270" w:lineRule="auto"/>
        <w:rPr>
          <w:sz w:val="20"/>
          <w:szCs w:val="20"/>
          <w:color w:val="auto"/>
        </w:rPr>
      </w:pPr>
      <w:r>
        <w:rPr>
          <w:rFonts w:ascii="Arial" w:cs="Arial" w:eastAsia="Arial" w:hAnsi="Arial"/>
          <w:sz w:val="17"/>
          <w:szCs w:val="17"/>
          <w:color w:val="auto"/>
        </w:rPr>
        <w:t>We believe that our compensation practices have historically achieved an appropriate alignment of pay with company performance. Shareholders have overwhelmingly supported our practices, with our “say-on-pay” vote receiving at least 94% votes in favor over each of the last five years, with last year’s say-on-pay vote receiving 96% of the vote, excluding abstentions and broker non-votes. We did not make material changes to our compensation practices in response to the vote, and considered shareholder expectations generally in light of best compensation practices when making the changes to our compensation practices described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Assessments</w:t>
      </w:r>
    </w:p>
    <w:p>
      <w:pPr>
        <w:spacing w:after="0" w:line="119" w:lineRule="exact"/>
        <w:rPr>
          <w:sz w:val="20"/>
          <w:szCs w:val="20"/>
          <w:color w:val="auto"/>
        </w:rPr>
      </w:pPr>
    </w:p>
    <w:p>
      <w:pPr>
        <w:ind w:right="380" w:firstLine="435"/>
        <w:spacing w:after="0" w:line="365" w:lineRule="auto"/>
        <w:rPr>
          <w:sz w:val="20"/>
          <w:szCs w:val="20"/>
          <w:color w:val="auto"/>
        </w:rPr>
      </w:pPr>
      <w:r>
        <w:rPr>
          <w:rFonts w:ascii="Arial" w:cs="Arial" w:eastAsia="Arial" w:hAnsi="Arial"/>
          <w:sz w:val="14"/>
          <w:szCs w:val="14"/>
          <w:color w:val="auto"/>
        </w:rPr>
        <w:t>Consistent with our compensation objectives described above, our executive compensation program is designed to be competitive with the programs that are offered at paper, packaging and related manufacturing companies comparable to us. While comparing our compensation to other companies may not always be totally appropriate due to aspects of our business, these comparisons assist the committee’s decision making process.</w:t>
      </w:r>
    </w:p>
    <w:p>
      <w:pPr>
        <w:spacing w:after="0" w:line="118" w:lineRule="exact"/>
        <w:rPr>
          <w:sz w:val="20"/>
          <w:szCs w:val="20"/>
          <w:color w:val="auto"/>
        </w:rPr>
      </w:pPr>
    </w:p>
    <w:p>
      <w:pPr>
        <w:ind w:firstLine="435"/>
        <w:spacing w:after="0" w:line="304" w:lineRule="auto"/>
        <w:rPr>
          <w:sz w:val="20"/>
          <w:szCs w:val="20"/>
          <w:color w:val="auto"/>
        </w:rPr>
      </w:pPr>
      <w:r>
        <w:rPr>
          <w:rFonts w:ascii="Arial" w:cs="Arial" w:eastAsia="Arial" w:hAnsi="Arial"/>
          <w:sz w:val="16"/>
          <w:szCs w:val="16"/>
          <w:color w:val="auto"/>
        </w:rPr>
        <w:t>At the direction of the committee, we have retained Meridian Compensation Partners, LLC, a nationally recognized compensation consulting firm, to assess the compensation of our named executive officers relative to a group of named executive officers at other peer companies and provide us with information in support of our compensation practices. The assessments include the compilation of compensation data from the peer group</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500" w:top="274" w:right="539" w:bottom="1440" w:gutter="0" w:footer="0" w:header="0"/>
        </w:sectPr>
      </w:pPr>
    </w:p>
    <w:bookmarkStart w:id="22" w:name="page23"/>
    <w:bookmarkEnd w:id="22"/>
    <w:p>
      <w:pPr>
        <w:ind w:right="2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companies selected by management and approved by the committee, and the comparison of the compensation of each of our named executive officers relative to similar officers at the peer group companies. Representatives of</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Meridian and other consultants have not attended meetings of the compensation committee and have not otherwise participated in any compensation decisions or the design of our executive compensation program. In addition to the survey above, Meridian also provides us with a director compensation survey and assists us with the determination of the grant date value of the TSR Units include in our equity awards.</w:t>
      </w:r>
    </w:p>
    <w:p>
      <w:pPr>
        <w:spacing w:after="0" w:line="177" w:lineRule="exact"/>
        <w:rPr>
          <w:sz w:val="20"/>
          <w:szCs w:val="20"/>
          <w:color w:val="auto"/>
        </w:rPr>
      </w:pPr>
    </w:p>
    <w:p>
      <w:pPr>
        <w:ind w:right="40" w:firstLine="435"/>
        <w:spacing w:after="0" w:line="252" w:lineRule="auto"/>
        <w:rPr>
          <w:sz w:val="20"/>
          <w:szCs w:val="20"/>
          <w:color w:val="auto"/>
        </w:rPr>
      </w:pPr>
      <w:r>
        <w:rPr>
          <w:rFonts w:ascii="Arial" w:cs="Arial" w:eastAsia="Arial" w:hAnsi="Arial"/>
          <w:sz w:val="18"/>
          <w:szCs w:val="18"/>
          <w:color w:val="auto"/>
        </w:rPr>
        <w:t>Compensation is compared to a peer group designed to include: (1) direct industry competitors, (2) companies viewed by PCA and its investors as operating in related paper, packaging or container industries or in the basic materials sector and that are comparable in size or scope, across such measures as total revenues, taking into account the integrated nature of PCA’s business, and market capitalization; (3) other companies of similar size and scope in the basic materials sector and (4) manufacturing companies of similar size or scope headquartered near the location of PCA’s headquarters. The group was unchanged from 2020 to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4"/>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Capitalization</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2021 Total</w:t>
            </w:r>
          </w:p>
        </w:tc>
        <w:tc>
          <w:tcPr>
            <w:tcW w:w="2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3-year 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2021 Revenues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420" w:type="dxa"/>
            <w:vAlign w:val="bottom"/>
          </w:tcPr>
          <w:p>
            <w:pPr>
              <w:spacing w:after="0"/>
              <w:rPr>
                <w:sz w:val="12"/>
                <w:szCs w:val="12"/>
                <w:color w:val="auto"/>
              </w:rPr>
            </w:pPr>
          </w:p>
        </w:tc>
        <w:tc>
          <w:tcPr>
            <w:tcW w:w="19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Reason(1)</w:t>
            </w:r>
          </w:p>
        </w:tc>
        <w:tc>
          <w:tcPr>
            <w:tcW w:w="15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3"/>
              <w:spacing w:after="0" w:line="147" w:lineRule="exact"/>
              <w:rPr>
                <w:sz w:val="20"/>
                <w:szCs w:val="20"/>
                <w:color w:val="auto"/>
              </w:rPr>
            </w:pPr>
            <w:r>
              <w:rPr>
                <w:rFonts w:ascii="Arial" w:cs="Arial" w:eastAsia="Arial" w:hAnsi="Arial"/>
                <w:sz w:val="14"/>
                <w:szCs w:val="14"/>
                <w:b w:val="1"/>
                <w:bCs w:val="1"/>
                <w:color w:val="auto"/>
                <w:w w:val="93"/>
              </w:rPr>
              <w:t>2/25/2022</w:t>
            </w:r>
          </w:p>
        </w:tc>
        <w:tc>
          <w:tcPr>
            <w:tcW w:w="260" w:type="dxa"/>
            <w:vAlign w:val="bottom"/>
          </w:tcPr>
          <w:p>
            <w:pPr>
              <w:spacing w:after="0"/>
              <w:rPr>
                <w:sz w:val="12"/>
                <w:szCs w:val="12"/>
                <w:color w:val="auto"/>
              </w:rPr>
            </w:pPr>
          </w:p>
        </w:tc>
        <w:tc>
          <w:tcPr>
            <w:tcW w:w="134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Stockholder</w:t>
            </w:r>
          </w:p>
        </w:tc>
        <w:tc>
          <w:tcPr>
            <w:tcW w:w="116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1"/>
              </w:rPr>
              <w:t>Stockholder</w:t>
            </w:r>
          </w:p>
        </w:tc>
        <w:tc>
          <w:tcPr>
            <w:tcW w:w="0" w:type="dxa"/>
            <w:vAlign w:val="bottom"/>
          </w:tcPr>
          <w:p>
            <w:pPr>
              <w:spacing w:after="0"/>
              <w:rPr>
                <w:sz w:val="1"/>
                <w:szCs w:val="1"/>
                <w:color w:val="auto"/>
              </w:rPr>
            </w:pPr>
          </w:p>
        </w:tc>
      </w:tr>
      <w:tr>
        <w:trPr>
          <w:trHeight w:val="156"/>
        </w:trPr>
        <w:tc>
          <w:tcPr>
            <w:tcW w:w="314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gridSpan w:val="2"/>
          </w:tcPr>
          <w:p>
            <w:pPr>
              <w:jc w:val="right"/>
              <w:ind w:right="360"/>
              <w:spacing w:after="0" w:line="156" w:lineRule="exact"/>
              <w:rPr>
                <w:sz w:val="20"/>
                <w:szCs w:val="20"/>
                <w:color w:val="auto"/>
              </w:rPr>
            </w:pPr>
            <w:r>
              <w:rPr>
                <w:rFonts w:ascii="Arial" w:cs="Arial" w:eastAsia="Arial" w:hAnsi="Arial"/>
                <w:sz w:val="14"/>
                <w:szCs w:val="14"/>
                <w:b w:val="1"/>
                <w:bCs w:val="1"/>
                <w:color w:val="auto"/>
                <w:w w:val="99"/>
              </w:rPr>
              <w:t>(in millions)</w:t>
            </w:r>
          </w:p>
        </w:tc>
        <w:tc>
          <w:tcPr>
            <w:tcW w:w="220" w:type="dxa"/>
            <w:vAlign w:val="bottom"/>
          </w:tcPr>
          <w:p>
            <w:pPr>
              <w:spacing w:after="0"/>
              <w:rPr>
                <w:sz w:val="13"/>
                <w:szCs w:val="13"/>
                <w:color w:val="auto"/>
              </w:rPr>
            </w:pPr>
          </w:p>
        </w:tc>
        <w:tc>
          <w:tcPr>
            <w:tcW w:w="1140" w:type="dxa"/>
            <w:vAlign w:val="bottom"/>
            <w:gridSpan w:val="3"/>
          </w:tcPr>
          <w:p>
            <w:pPr>
              <w:jc w:val="center"/>
              <w:ind w:right="260"/>
              <w:spacing w:after="0" w:line="156" w:lineRule="exact"/>
              <w:rPr>
                <w:sz w:val="20"/>
                <w:szCs w:val="20"/>
                <w:color w:val="auto"/>
              </w:rPr>
            </w:pPr>
            <w:r>
              <w:rPr>
                <w:rFonts w:ascii="Arial" w:cs="Arial" w:eastAsia="Arial" w:hAnsi="Arial"/>
                <w:sz w:val="14"/>
                <w:szCs w:val="14"/>
                <w:b w:val="1"/>
                <w:bCs w:val="1"/>
                <w:color w:val="auto"/>
                <w:w w:val="91"/>
              </w:rPr>
              <w:t>(in millions)</w:t>
            </w:r>
          </w:p>
        </w:tc>
        <w:tc>
          <w:tcPr>
            <w:tcW w:w="2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w w:val="97"/>
              </w:rPr>
              <w:t>Return</w:t>
            </w:r>
          </w:p>
        </w:tc>
        <w:tc>
          <w:tcPr>
            <w:tcW w:w="220" w:type="dxa"/>
            <w:vAlign w:val="bottom"/>
          </w:tcPr>
          <w:p>
            <w:pPr>
              <w:spacing w:after="0"/>
              <w:rPr>
                <w:sz w:val="13"/>
                <w:szCs w:val="13"/>
                <w:color w:val="auto"/>
              </w:rPr>
            </w:pPr>
          </w:p>
        </w:tc>
        <w:tc>
          <w:tcPr>
            <w:tcW w:w="94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3"/>
              </w:rPr>
              <w:t>Return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Ashland Global Holdings, Inc.</w:t>
            </w:r>
          </w:p>
        </w:tc>
        <w:tc>
          <w:tcPr>
            <w:tcW w:w="4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Basic materials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2,111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5,280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Avery Dennison Corporation</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14,484</w:t>
            </w: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41.4%</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Ball Corporation</w:t>
            </w:r>
          </w:p>
        </w:tc>
        <w:tc>
          <w:tcPr>
            <w:tcW w:w="2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28,472</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Berry Global, Inc.</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13,850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8,244</w:t>
            </w: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31.3%</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Celanese Corporation</w:t>
            </w:r>
          </w:p>
        </w:tc>
        <w:tc>
          <w:tcPr>
            <w:tcW w:w="2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materials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14,962</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Crown Holdings Inc.</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11,394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14,916</w:t>
            </w: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11.3%</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Domtar Corporation(1)</w:t>
            </w:r>
          </w:p>
        </w:tc>
        <w:tc>
          <w:tcPr>
            <w:tcW w:w="2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Direct industry competitor</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Eastman Chemical Co.</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rPr>
              <w:t>Basic materials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10,476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15,355</w:t>
            </w: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23.6%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Graphic Packaging Holding Company</w:t>
            </w:r>
          </w:p>
        </w:tc>
        <w:tc>
          <w:tcPr>
            <w:tcW w:w="2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Greif, Inc.</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2,754</w:t>
            </w: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32.6%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Ingredion Incorporated</w:t>
            </w:r>
          </w:p>
        </w:tc>
        <w:tc>
          <w:tcPr>
            <w:tcW w:w="23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Local manufacturing</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company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International Paper Company</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w w:val="92"/>
              </w:rPr>
              <w:t>Direct industry competitor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19,363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16,978</w:t>
            </w: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 Glass, Inc.</w:t>
            </w:r>
          </w:p>
        </w:tc>
        <w:tc>
          <w:tcPr>
            <w:tcW w:w="2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Sealed Air Corporation</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10,270</w:t>
            </w: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49.4%</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Sherwin Williams Corporation.</w:t>
            </w:r>
          </w:p>
        </w:tc>
        <w:tc>
          <w:tcPr>
            <w:tcW w:w="2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materials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67,171</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Sonoco Products Company</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5,590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5,668</w:t>
            </w: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0.5%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Tenneco, Inc.</w:t>
            </w:r>
          </w:p>
        </w:tc>
        <w:tc>
          <w:tcPr>
            <w:tcW w:w="23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Local manufacturing</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company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WestRock Company</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w w:val="92"/>
              </w:rPr>
              <w:t>Direct industry competitor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18,746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12,995</w:t>
            </w:r>
          </w:p>
        </w:tc>
        <w:tc>
          <w:tcPr>
            <w:tcW w:w="26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Weyerhaeuser Company</w:t>
            </w:r>
          </w:p>
        </w:tc>
        <w:tc>
          <w:tcPr>
            <w:tcW w:w="2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Related industry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27,823</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Packaging Corporation of America</w:t>
            </w:r>
          </w:p>
        </w:tc>
        <w:tc>
          <w:tcPr>
            <w:tcW w:w="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7,730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13,701</w:t>
            </w:r>
          </w:p>
        </w:tc>
        <w:tc>
          <w:tcPr>
            <w:tcW w:w="26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73660</wp:posOffset>
            </wp:positionV>
            <wp:extent cx="753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37" w:lineRule="exact"/>
        <w:rPr>
          <w:sz w:val="20"/>
          <w:szCs w:val="20"/>
          <w:color w:val="auto"/>
        </w:rPr>
      </w:pPr>
    </w:p>
    <w:p>
      <w:pPr>
        <w:ind w:left="440" w:right="100" w:hanging="433"/>
        <w:spacing w:after="0" w:line="267"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Domtar was acquired during 2021. For total stockholder return calculation purposes, the trading price on the date of completion of the acquisition was used.</w:t>
      </w:r>
    </w:p>
    <w:p>
      <w:pPr>
        <w:spacing w:after="0" w:line="179" w:lineRule="exact"/>
        <w:rPr>
          <w:sz w:val="20"/>
          <w:szCs w:val="20"/>
          <w:color w:val="auto"/>
        </w:rPr>
      </w:pPr>
    </w:p>
    <w:p>
      <w:pPr>
        <w:jc w:val="both"/>
        <w:ind w:right="140" w:firstLine="435"/>
        <w:spacing w:after="0" w:line="330" w:lineRule="auto"/>
        <w:rPr>
          <w:sz w:val="20"/>
          <w:szCs w:val="20"/>
          <w:color w:val="auto"/>
        </w:rPr>
      </w:pPr>
      <w:r>
        <w:rPr>
          <w:rFonts w:ascii="Arial" w:cs="Arial" w:eastAsia="Arial" w:hAnsi="Arial"/>
          <w:sz w:val="16"/>
          <w:szCs w:val="16"/>
          <w:color w:val="auto"/>
        </w:rPr>
        <w:t>PCA’s 2021 revenues are slightly below the median of the group, its market capitalization is slightly above the median of the group, its one-year total stockholder return is below the 25</w:t>
      </w:r>
      <w:r>
        <w:rPr>
          <w:rFonts w:ascii="Arial" w:cs="Arial" w:eastAsia="Arial" w:hAnsi="Arial"/>
          <w:sz w:val="13"/>
          <w:szCs w:val="13"/>
          <w:color w:val="auto"/>
        </w:rPr>
        <w:t>th</w:t>
      </w:r>
      <w:r>
        <w:rPr>
          <w:rFonts w:ascii="Arial" w:cs="Arial" w:eastAsia="Arial" w:hAnsi="Arial"/>
          <w:sz w:val="16"/>
          <w:szCs w:val="16"/>
          <w:color w:val="auto"/>
        </w:rPr>
        <w:t xml:space="preserve"> percentile of the group and its three-year total stockholder return is at approximately the median of the group.</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500" w:top="274" w:right="519" w:bottom="1440" w:gutter="0" w:footer="0" w:header="0"/>
        </w:sectPr>
      </w:pPr>
    </w:p>
    <w:bookmarkStart w:id="23" w:name="page24"/>
    <w:bookmarkEnd w:id="23"/>
    <w:p>
      <w:pPr>
        <w:ind w:right="40" w:firstLine="435"/>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August 2021, Meridian completed a compensation assessment against the peer group, using the most recently filed proxy statements to obtain comparative 2020 compensation data. The committee uses the assessment to help ensure that our executive compensation is competitive and in line with industry and market practice. The committee also uses these assessments as a guide when determining each element of incentive</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compensation, the mix of base salary, annual performance-based, cash incentive awards and equity grants within the overall compensation package, and the total compensation compared to the peer group companies. There is no pre-established policy or target for the mix between cash and non-cash, or short and long-term incentive compensation.</w:t>
      </w:r>
    </w:p>
    <w:p>
      <w:pPr>
        <w:spacing w:after="0" w:line="102" w:lineRule="exact"/>
        <w:rPr>
          <w:sz w:val="20"/>
          <w:szCs w:val="20"/>
          <w:color w:val="auto"/>
        </w:rPr>
      </w:pPr>
    </w:p>
    <w:p>
      <w:pPr>
        <w:ind w:left="960" w:right="160" w:hanging="420"/>
        <w:spacing w:after="0" w:line="25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CEO, Mr. Kowlzan, had total compensation in 2020 slightly above the median of the peer group. Annual cash compensation was at approximately the 75</w:t>
      </w:r>
      <w:r>
        <w:rPr>
          <w:rFonts w:ascii="Arial" w:cs="Arial" w:eastAsia="Arial" w:hAnsi="Arial"/>
          <w:sz w:val="15"/>
          <w:szCs w:val="15"/>
          <w:color w:val="auto"/>
        </w:rPr>
        <w:t>th</w:t>
      </w:r>
      <w:r>
        <w:rPr>
          <w:rFonts w:ascii="Arial" w:cs="Arial" w:eastAsia="Arial" w:hAnsi="Arial"/>
          <w:sz w:val="18"/>
          <w:szCs w:val="18"/>
          <w:color w:val="auto"/>
        </w:rPr>
        <w:t xml:space="preserve"> percentile of the peer group. Mr. Kowlzan’s long-term compensation was at approximately the median of the peer group.</w:t>
      </w:r>
    </w:p>
    <w:p>
      <w:pPr>
        <w:spacing w:after="0" w:line="94" w:lineRule="exact"/>
        <w:rPr>
          <w:rFonts w:ascii="Arial" w:cs="Arial" w:eastAsia="Arial" w:hAnsi="Arial"/>
          <w:sz w:val="18"/>
          <w:szCs w:val="18"/>
          <w:color w:val="auto"/>
        </w:rPr>
      </w:pPr>
    </w:p>
    <w:p>
      <w:pPr>
        <w:ind w:left="960" w:hanging="420"/>
        <w:spacing w:after="0" w:line="267"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Mr. Hassfurther had the highest total compensation of the group when compared to the second-highest-paid named executive officers in the peer group, with his cash compensation and long-term compensation at the top of the peer group. In his more-than-40-year career in the PCA packaging business, including nearly 20 years in executive positions, Mr. Hassfurther has driven the profitable growth of our corrugated products business, which has contributed to our industry-leading performance and the creation of substantial shareholder value. In addition to considering the peer group information, the committee considers Mr. Hassfurther’s compensation in relation to Mr. Kowlzan’s compensation, and targets compensation for him between the high end of the competitive range for second-highest-paid officers in our peer group and the compensation of Mr. Kowlzan.</w:t>
      </w:r>
    </w:p>
    <w:p>
      <w:pPr>
        <w:spacing w:after="0" w:line="89" w:lineRule="exact"/>
        <w:rPr>
          <w:rFonts w:ascii="Arial" w:cs="Arial" w:eastAsia="Arial" w:hAnsi="Arial"/>
          <w:sz w:val="17"/>
          <w:szCs w:val="17"/>
          <w:color w:val="auto"/>
        </w:rPr>
      </w:pPr>
    </w:p>
    <w:p>
      <w:pPr>
        <w:ind w:left="960" w:right="100" w:hanging="420"/>
        <w:spacing w:after="0" w:line="298"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Mr. Mundy’s 2020 compensation was slightly above the 75</w:t>
      </w:r>
      <w:r>
        <w:rPr>
          <w:rFonts w:ascii="Arial" w:cs="Arial" w:eastAsia="Arial" w:hAnsi="Arial"/>
          <w:sz w:val="14"/>
          <w:szCs w:val="14"/>
          <w:color w:val="auto"/>
        </w:rPr>
        <w:t>th</w:t>
      </w:r>
      <w:r>
        <w:rPr>
          <w:rFonts w:ascii="Arial" w:cs="Arial" w:eastAsia="Arial" w:hAnsi="Arial"/>
          <w:sz w:val="17"/>
          <w:szCs w:val="17"/>
          <w:color w:val="auto"/>
        </w:rPr>
        <w:t xml:space="preserve"> percentile of the CFOs of the peer group, with cash compensation at the 90</w:t>
      </w:r>
      <w:r>
        <w:rPr>
          <w:rFonts w:ascii="Arial" w:cs="Arial" w:eastAsia="Arial" w:hAnsi="Arial"/>
          <w:sz w:val="14"/>
          <w:szCs w:val="14"/>
          <w:color w:val="auto"/>
        </w:rPr>
        <w:t>th</w:t>
      </w:r>
      <w:r>
        <w:rPr>
          <w:rFonts w:ascii="Arial" w:cs="Arial" w:eastAsia="Arial" w:hAnsi="Arial"/>
          <w:sz w:val="17"/>
          <w:szCs w:val="17"/>
          <w:color w:val="auto"/>
        </w:rPr>
        <w:t xml:space="preserve"> percentile of the peer group and long-term compensation between the median and the 75</w:t>
      </w:r>
      <w:r>
        <w:rPr>
          <w:rFonts w:ascii="Arial" w:cs="Arial" w:eastAsia="Arial" w:hAnsi="Arial"/>
          <w:sz w:val="14"/>
          <w:szCs w:val="14"/>
          <w:color w:val="auto"/>
        </w:rPr>
        <w:t>th</w:t>
      </w:r>
      <w:r>
        <w:rPr>
          <w:rFonts w:ascii="Arial" w:cs="Arial" w:eastAsia="Arial" w:hAnsi="Arial"/>
          <w:sz w:val="17"/>
          <w:szCs w:val="17"/>
          <w:color w:val="auto"/>
        </w:rPr>
        <w:t xml:space="preserve"> percentile of the peer group.</w:t>
      </w:r>
    </w:p>
    <w:p>
      <w:pPr>
        <w:spacing w:after="0" w:line="60" w:lineRule="exact"/>
        <w:rPr>
          <w:rFonts w:ascii="Arial" w:cs="Arial" w:eastAsia="Arial" w:hAnsi="Arial"/>
          <w:sz w:val="17"/>
          <w:szCs w:val="17"/>
          <w:color w:val="auto"/>
        </w:rPr>
      </w:pPr>
    </w:p>
    <w:p>
      <w:pPr>
        <w:jc w:val="both"/>
        <w:ind w:left="960" w:right="40" w:hanging="420"/>
        <w:spacing w:after="0" w:line="25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Carter had total compensation between the median and the 75</w:t>
      </w:r>
      <w:r>
        <w:rPr>
          <w:rFonts w:ascii="Arial" w:cs="Arial" w:eastAsia="Arial" w:hAnsi="Arial"/>
          <w:sz w:val="15"/>
          <w:szCs w:val="15"/>
          <w:color w:val="auto"/>
        </w:rPr>
        <w:t>th</w:t>
      </w:r>
      <w:r>
        <w:rPr>
          <w:rFonts w:ascii="Arial" w:cs="Arial" w:eastAsia="Arial" w:hAnsi="Arial"/>
          <w:sz w:val="18"/>
          <w:szCs w:val="18"/>
          <w:color w:val="auto"/>
        </w:rPr>
        <w:t xml:space="preserve"> percentile, when compared to the fourth-highest-paid named executive officers in the peer group. Cash compensation was between the median and the 75</w:t>
      </w:r>
      <w:r>
        <w:rPr>
          <w:rFonts w:ascii="Arial" w:cs="Arial" w:eastAsia="Arial" w:hAnsi="Arial"/>
          <w:sz w:val="15"/>
          <w:szCs w:val="15"/>
          <w:color w:val="auto"/>
        </w:rPr>
        <w:t>th</w:t>
      </w:r>
      <w:r>
        <w:rPr>
          <w:rFonts w:ascii="Arial" w:cs="Arial" w:eastAsia="Arial" w:hAnsi="Arial"/>
          <w:sz w:val="18"/>
          <w:szCs w:val="18"/>
          <w:color w:val="auto"/>
        </w:rPr>
        <w:t xml:space="preserve"> percentile and long term compensation was around the 75</w:t>
      </w:r>
      <w:r>
        <w:rPr>
          <w:rFonts w:ascii="Arial" w:cs="Arial" w:eastAsia="Arial" w:hAnsi="Arial"/>
          <w:sz w:val="15"/>
          <w:szCs w:val="15"/>
          <w:color w:val="auto"/>
        </w:rPr>
        <w:t>th</w:t>
      </w:r>
      <w:r>
        <w:rPr>
          <w:rFonts w:ascii="Arial" w:cs="Arial" w:eastAsia="Arial" w:hAnsi="Arial"/>
          <w:sz w:val="18"/>
          <w:szCs w:val="18"/>
          <w:color w:val="auto"/>
        </w:rPr>
        <w:t xml:space="preserve"> percentile.</w:t>
      </w:r>
    </w:p>
    <w:p>
      <w:pPr>
        <w:spacing w:after="0" w:line="94" w:lineRule="exact"/>
        <w:rPr>
          <w:rFonts w:ascii="Arial" w:cs="Arial" w:eastAsia="Arial" w:hAnsi="Arial"/>
          <w:sz w:val="18"/>
          <w:szCs w:val="18"/>
          <w:color w:val="auto"/>
        </w:rPr>
      </w:pPr>
    </w:p>
    <w:p>
      <w:pPr>
        <w:ind w:left="960" w:right="120" w:hanging="420"/>
        <w:spacing w:after="0" w:line="33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Shirley had total compensation between the median and the 75</w:t>
      </w:r>
      <w:r>
        <w:rPr>
          <w:rFonts w:ascii="Arial" w:cs="Arial" w:eastAsia="Arial" w:hAnsi="Arial"/>
          <w:sz w:val="13"/>
          <w:szCs w:val="13"/>
          <w:color w:val="auto"/>
        </w:rPr>
        <w:t>th</w:t>
      </w:r>
      <w:r>
        <w:rPr>
          <w:rFonts w:ascii="Arial" w:cs="Arial" w:eastAsia="Arial" w:hAnsi="Arial"/>
          <w:sz w:val="16"/>
          <w:szCs w:val="16"/>
          <w:color w:val="auto"/>
        </w:rPr>
        <w:t xml:space="preserve"> percentile, when compared to the fifth-highest paid named executive officers in the peer group. Cash compensation and long-term compensation were both between the median and the 75</w:t>
      </w:r>
      <w:r>
        <w:rPr>
          <w:rFonts w:ascii="Arial" w:cs="Arial" w:eastAsia="Arial" w:hAnsi="Arial"/>
          <w:sz w:val="13"/>
          <w:szCs w:val="13"/>
          <w:color w:val="auto"/>
        </w:rPr>
        <w:t>th</w:t>
      </w:r>
      <w:r>
        <w:rPr>
          <w:rFonts w:ascii="Arial" w:cs="Arial" w:eastAsia="Arial" w:hAnsi="Arial"/>
          <w:sz w:val="16"/>
          <w:szCs w:val="16"/>
          <w:color w:val="auto"/>
        </w:rPr>
        <w:t xml:space="preserve"> percentile.</w:t>
      </w:r>
    </w:p>
    <w:p>
      <w:pPr>
        <w:spacing w:after="0" w:line="133" w:lineRule="exact"/>
        <w:rPr>
          <w:sz w:val="20"/>
          <w:szCs w:val="20"/>
          <w:color w:val="auto"/>
        </w:rPr>
      </w:pPr>
    </w:p>
    <w:p>
      <w:pPr>
        <w:ind w:right="460" w:firstLine="435"/>
        <w:spacing w:after="0" w:line="330" w:lineRule="auto"/>
        <w:rPr>
          <w:sz w:val="20"/>
          <w:szCs w:val="20"/>
          <w:color w:val="auto"/>
        </w:rPr>
      </w:pPr>
      <w:r>
        <w:rPr>
          <w:rFonts w:ascii="Arial" w:cs="Arial" w:eastAsia="Arial" w:hAnsi="Arial"/>
          <w:sz w:val="16"/>
          <w:szCs w:val="16"/>
          <w:color w:val="auto"/>
        </w:rPr>
        <w:t>The committee was generally satisfied with the competitive placement of our officers in 2020, the year surveyed. Based on its review of this assessment, the committee did not make any significant changes to the overall compensation objectives, structure and opportunities for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Base Salary</w:t>
      </w:r>
    </w:p>
    <w:p>
      <w:pPr>
        <w:spacing w:after="0" w:line="113" w:lineRule="exact"/>
        <w:rPr>
          <w:sz w:val="20"/>
          <w:szCs w:val="20"/>
          <w:color w:val="auto"/>
        </w:rPr>
      </w:pPr>
    </w:p>
    <w:p>
      <w:pPr>
        <w:ind w:firstLine="435"/>
        <w:spacing w:after="0" w:line="251" w:lineRule="auto"/>
        <w:rPr>
          <w:sz w:val="20"/>
          <w:szCs w:val="20"/>
          <w:color w:val="auto"/>
        </w:rPr>
      </w:pPr>
      <w:r>
        <w:rPr>
          <w:rFonts w:ascii="Arial" w:cs="Arial" w:eastAsia="Arial" w:hAnsi="Arial"/>
          <w:sz w:val="18"/>
          <w:szCs w:val="18"/>
          <w:color w:val="auto"/>
        </w:rPr>
        <w:t>We provide a base salary to attract and retain executive officers and compensate them for their services during the year. Base salary levels are designed to be competitive with peer companies, while taking into account individual experience, performance and accomplishments. Merit-based increases to salaries of named executive officers are generally based on the committee’s assessment of the individual’s performance and are consistent with merit-based increases for the overall salaried employee population. During 2021, base salaries were increased by approximately 3% for each named executive officer. For 2021, Mr. Kowlzan received a temporary salary increase of $75,000 to compensate him for travel and other expenses resulting from the pandemic.</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13" w:lineRule="exact"/>
        <w:rPr>
          <w:sz w:val="20"/>
          <w:szCs w:val="20"/>
          <w:color w:val="auto"/>
        </w:rPr>
      </w:pPr>
    </w:p>
    <w:p>
      <w:pPr>
        <w:ind w:right="700" w:firstLine="435"/>
        <w:spacing w:after="0" w:line="26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Our annual cash incentive award program under our Executive Incentive Compensation Plan (EICP) is designed to motivate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in the most important aspects of our business. Threshold, target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500" w:top="274" w:right="519" w:bottom="1440" w:gutter="0" w:footer="0" w:header="0"/>
        </w:sectPr>
      </w:pPr>
    </w:p>
    <w:bookmarkStart w:id="24" w:name="page25"/>
    <w:bookmarkEnd w:id="24"/>
    <w:p>
      <w:pPr>
        <w:ind w:right="200"/>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maximum awards and performance measures to be considered for actual payouts are determined during the year, and payouts are determined based on consideration of actual performance at or around year end.</w:t>
      </w:r>
    </w:p>
    <w:p>
      <w:pPr>
        <w:spacing w:after="0" w:line="179" w:lineRule="exact"/>
        <w:rPr>
          <w:sz w:val="20"/>
          <w:szCs w:val="20"/>
          <w:color w:val="auto"/>
        </w:rPr>
      </w:pPr>
    </w:p>
    <w:p>
      <w:pPr>
        <w:ind w:firstLine="435"/>
        <w:spacing w:after="0" w:line="265" w:lineRule="auto"/>
        <w:rPr>
          <w:sz w:val="20"/>
          <w:szCs w:val="20"/>
          <w:color w:val="auto"/>
        </w:rPr>
      </w:pPr>
      <w:r>
        <w:rPr>
          <w:rFonts w:ascii="Arial" w:cs="Arial" w:eastAsia="Arial" w:hAnsi="Arial"/>
          <w:sz w:val="17"/>
          <w:szCs w:val="17"/>
          <w:color w:val="auto"/>
        </w:rPr>
        <w:t>Historically, the committee had established target awards, and payout and performance matrices at its regularly-scheduled February meeting at which time the company’s annual operating plan (AOP) is discussed and approved by the board. Forecasted annual earnings per share, excluding special items, in the AOP served as the performance measure for the annual cash incentive award since 2019, which was the first year the committee determined the annual cash incentive awards solely based on an objective performance measure. We use earnings per share after special items as the performance measure because it measures management’s effectiveness in generating shareholder value, provides a measure of affordability for award payouts and measure management’s effectiveness in running the business against the internal profit plan. In 2020, because of the uncertain effects of the pandemic were not forecasted in the company’s 2020 AOP, the committee adopted a hybrid approach, primarily considering subjective factors regarding the company’s operating performance and financial health and secondarily reviewing the formulaic outcome achieved by comparing the company’s actual earnings against the AOP target and applying a similar performance and payout matrix used in 2019. These analyses produced similar outcomes for purposes of determining 2020 awards.</w:t>
      </w:r>
    </w:p>
    <w:p>
      <w:pPr>
        <w:spacing w:after="0" w:line="187" w:lineRule="exact"/>
        <w:rPr>
          <w:sz w:val="20"/>
          <w:szCs w:val="20"/>
          <w:color w:val="auto"/>
        </w:rPr>
      </w:pPr>
    </w:p>
    <w:p>
      <w:pPr>
        <w:ind w:right="220" w:firstLine="435"/>
        <w:spacing w:after="0" w:line="288" w:lineRule="auto"/>
        <w:rPr>
          <w:sz w:val="20"/>
          <w:szCs w:val="20"/>
          <w:color w:val="auto"/>
        </w:rPr>
      </w:pPr>
      <w:r>
        <w:rPr>
          <w:rFonts w:ascii="Arial" w:cs="Arial" w:eastAsia="Arial" w:hAnsi="Arial"/>
          <w:sz w:val="16"/>
          <w:szCs w:val="16"/>
          <w:color w:val="auto"/>
        </w:rPr>
        <w:t>The committee continued to use a hybrid approach in 2021 as forecasting performance remained difficult due to the continued effect of the pandemic on the economy. In May 2021, the committee determined to primarily consider the formulaic outcome achieved by applying the payout and performance matrix against the company’s AOP forecasted earnings per share excluding special items of $7.40 per share. The committee also established target awards for each officer equal to the actual award paid out for 2020. These targets represented an 17% increase from 2020 target awards, as 2021 forecasted earnings were approximately 28% higher than 2020 actual earnings. The committee would consider subjective factors regarding the company’s operating performance and financial health and, if necessary, would make any adjustments to the formulaic outcome.</w:t>
      </w:r>
    </w:p>
    <w:p>
      <w:pPr>
        <w:spacing w:after="0" w:line="168" w:lineRule="exact"/>
        <w:rPr>
          <w:sz w:val="20"/>
          <w:szCs w:val="20"/>
          <w:color w:val="auto"/>
        </w:rPr>
      </w:pPr>
    </w:p>
    <w:p>
      <w:pPr>
        <w:ind w:right="40" w:firstLine="435"/>
        <w:spacing w:after="0" w:line="285" w:lineRule="auto"/>
        <w:rPr>
          <w:sz w:val="20"/>
          <w:szCs w:val="20"/>
          <w:color w:val="auto"/>
        </w:rPr>
      </w:pPr>
      <w:r>
        <w:rPr>
          <w:rFonts w:ascii="Arial" w:cs="Arial" w:eastAsia="Arial" w:hAnsi="Arial"/>
          <w:sz w:val="16"/>
          <w:szCs w:val="16"/>
          <w:i w:val="1"/>
          <w:iCs w:val="1"/>
          <w:color w:val="auto"/>
        </w:rPr>
        <w:t>Target Award Levels</w:t>
      </w:r>
      <w:r>
        <w:rPr>
          <w:rFonts w:ascii="Arial" w:cs="Arial" w:eastAsia="Arial" w:hAnsi="Arial"/>
          <w:sz w:val="16"/>
          <w:szCs w:val="16"/>
          <w:color w:val="auto"/>
        </w:rPr>
        <w:t>. Target award level, thresholds and maximums are determined based upon our review of competitive information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award payouts and the importance to our business of, and our expectations for, the individual positions. Our maximum 2021 EICP award level was 154% of target for our CEO and 153% to 166% for the other officers. The maximum award level was $3.6 million for Mr. Kowlzan, our CEO. These maximums were determined largely to be competitive with maximum award opportunities for peer group companies. The 2021 target awards were $2,333,750 for Mr. Kowlzan; $1,571,250 for Mr. Hassfurther; $1,048,750 for Mr. Mundy; $556,250 for Mr. Carter; and $513,750 for Mr. Shirley. Target award levels were approximately 17% higher than 2020 target award levels due to significantly higher forecasted earnings. The committee has historically considered affordability into its award determination (i.e., higher or lower absolute earnings drive higher or lower absolute award payouts). In order to achieve such objective, the committee varies target award levels each year by comparing forecasted earnings against historical earnings.</w:t>
      </w:r>
    </w:p>
    <w:p>
      <w:pPr>
        <w:spacing w:after="0" w:line="171"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i w:val="1"/>
          <w:iCs w:val="1"/>
          <w:color w:val="auto"/>
        </w:rPr>
        <w:t>Payout Matrix.</w:t>
      </w:r>
      <w:r>
        <w:rPr>
          <w:sz w:val="20"/>
          <w:szCs w:val="20"/>
          <w:color w:val="auto"/>
        </w:rPr>
        <w:tab/>
      </w:r>
      <w:r>
        <w:rPr>
          <w:rFonts w:ascii="Arial" w:cs="Arial" w:eastAsia="Arial" w:hAnsi="Arial"/>
          <w:sz w:val="16"/>
          <w:szCs w:val="16"/>
          <w:color w:val="auto"/>
        </w:rPr>
        <w:t>The payout matrix was established to pay:</w:t>
      </w:r>
    </w:p>
    <w:p>
      <w:pPr>
        <w:spacing w:after="0" w:line="246" w:lineRule="exact"/>
        <w:rPr>
          <w:sz w:val="20"/>
          <w:szCs w:val="20"/>
          <w:color w:val="auto"/>
        </w:rPr>
      </w:pPr>
    </w:p>
    <w:p>
      <w:pPr>
        <w:ind w:left="960" w:right="460" w:hanging="420"/>
        <w:spacing w:after="0" w:line="26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awards at the target level if the company achieved $7.40 of earnings per share excluding special items. This was the level of earnings derived from our February 2021 annual operating plan forecast.</w:t>
      </w:r>
    </w:p>
    <w:p>
      <w:pPr>
        <w:spacing w:after="0" w:line="85" w:lineRule="exact"/>
        <w:rPr>
          <w:rFonts w:ascii="Arial" w:cs="Arial" w:eastAsia="Arial" w:hAnsi="Arial"/>
          <w:sz w:val="18"/>
          <w:szCs w:val="18"/>
          <w:color w:val="auto"/>
        </w:rPr>
      </w:pPr>
    </w:p>
    <w:p>
      <w:pPr>
        <w:ind w:left="960" w:hanging="420"/>
        <w:spacing w:after="0"/>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maximum awards (for the CEO, 155% of target award levels) if the company achieved $8.74 of earnings per share excluding special items.</w:t>
      </w:r>
    </w:p>
    <w:p>
      <w:pPr>
        <w:spacing w:after="0" w:line="149" w:lineRule="exact"/>
        <w:rPr>
          <w:rFonts w:ascii="Arial" w:cs="Arial" w:eastAsia="Arial" w:hAnsi="Arial"/>
          <w:sz w:val="16"/>
          <w:szCs w:val="16"/>
          <w:color w:val="auto"/>
        </w:rPr>
      </w:pPr>
    </w:p>
    <w:p>
      <w:pPr>
        <w:ind w:left="960" w:hanging="42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threshold level (25% of target award levels) if the company achieved $5.65 of earnings per share excluding special items.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500" w:top="274" w:right="519" w:bottom="1440" w:gutter="0" w:footer="0" w:header="0"/>
        </w:sectPr>
      </w:pPr>
    </w:p>
    <w:bookmarkStart w:id="25" w:name="page26"/>
    <w:bookmarkEnd w:id="25"/>
    <w:p>
      <w:pPr>
        <w:ind w:right="20" w:firstLine="435"/>
        <w:spacing w:after="0" w:line="28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Actual Performance</w:t>
      </w:r>
      <w:r>
        <w:rPr>
          <w:rFonts w:ascii="Arial" w:cs="Arial" w:eastAsia="Arial" w:hAnsi="Arial"/>
          <w:sz w:val="17"/>
          <w:szCs w:val="17"/>
          <w:color w:val="auto"/>
        </w:rPr>
        <w:t>. For the year, the company achieved earnings per share excluding special items of $9.39</w:t>
      </w:r>
      <w:r>
        <w:rPr>
          <w:rFonts w:ascii="Arial" w:cs="Arial" w:eastAsia="Arial" w:hAnsi="Arial"/>
          <w:sz w:val="14"/>
          <w:szCs w:val="14"/>
          <w:color w:val="auto"/>
        </w:rPr>
        <w:t>2</w:t>
      </w:r>
      <w:r>
        <w:rPr>
          <w:rFonts w:ascii="Arial" w:cs="Arial" w:eastAsia="Arial" w:hAnsi="Arial"/>
          <w:sz w:val="17"/>
          <w:szCs w:val="17"/>
          <w:color w:val="auto"/>
        </w:rPr>
        <w:t>, which resulted in payouts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 at the maximum levels in all cases. These resulted in awards for 2021 being approximately 156% of 2020 levels. These award levels are disclosed in the Summary Compensation Table in the “Non-Equity Incentive Plan Compensation” column.</w:t>
      </w:r>
    </w:p>
    <w:p>
      <w:pPr>
        <w:spacing w:after="0" w:line="170" w:lineRule="exact"/>
        <w:rPr>
          <w:sz w:val="20"/>
          <w:szCs w:val="20"/>
          <w:color w:val="auto"/>
        </w:rPr>
      </w:pPr>
    </w:p>
    <w:p>
      <w:pPr>
        <w:ind w:right="340" w:firstLine="435"/>
        <w:spacing w:after="0" w:line="267" w:lineRule="auto"/>
        <w:rPr>
          <w:sz w:val="20"/>
          <w:szCs w:val="20"/>
          <w:color w:val="auto"/>
        </w:rPr>
      </w:pPr>
      <w:r>
        <w:rPr>
          <w:rFonts w:ascii="Arial" w:cs="Arial" w:eastAsia="Arial" w:hAnsi="Arial"/>
          <w:sz w:val="18"/>
          <w:szCs w:val="18"/>
          <w:i w:val="1"/>
          <w:iCs w:val="1"/>
          <w:color w:val="auto"/>
        </w:rPr>
        <w:t xml:space="preserve">Committee Performance Review. </w:t>
      </w:r>
      <w:r>
        <w:rPr>
          <w:rFonts w:ascii="Arial" w:cs="Arial" w:eastAsia="Arial" w:hAnsi="Arial"/>
          <w:sz w:val="18"/>
          <w:szCs w:val="18"/>
          <w:color w:val="auto"/>
        </w:rPr>
        <w:t>The committee also performed a subjective analysis of the company’s operating performance and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health, which supported the formulaic outcome described above. In particular the committee considered:</w:t>
      </w:r>
    </w:p>
    <w:p>
      <w:pPr>
        <w:spacing w:after="0" w:line="86" w:lineRule="exact"/>
        <w:rPr>
          <w:sz w:val="20"/>
          <w:szCs w:val="20"/>
          <w:color w:val="auto"/>
        </w:rPr>
      </w:pPr>
    </w:p>
    <w:p>
      <w:pPr>
        <w:ind w:left="1400" w:right="60" w:hanging="314"/>
        <w:spacing w:after="0" w:line="257"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maintained safe operations through the pandemic and managed to serve its customers through periods of unprecedented demand, despite operating challenges brought on by transportation shortages and delays, labor availability issues and supplier delays, as well as cost inflation across the board.</w:t>
      </w:r>
    </w:p>
    <w:p>
      <w:pPr>
        <w:spacing w:after="0" w:line="94" w:lineRule="exact"/>
        <w:rPr>
          <w:rFonts w:ascii="Arial" w:cs="Arial" w:eastAsia="Arial" w:hAnsi="Arial"/>
          <w:sz w:val="18"/>
          <w:szCs w:val="18"/>
          <w:color w:val="auto"/>
        </w:rPr>
      </w:pPr>
    </w:p>
    <w:p>
      <w:pPr>
        <w:ind w:left="1400" w:hanging="314"/>
        <w:spacing w:after="0" w:line="257"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set records in containerboard production and corrugated products shipments. The company announced plans to permanently convert the number 3 machine at the Jackson, Alabama mill to produce containerboard and conversion activities remain on schedule.</w:t>
      </w:r>
    </w:p>
    <w:p>
      <w:pPr>
        <w:spacing w:after="0" w:line="94" w:lineRule="exact"/>
        <w:rPr>
          <w:rFonts w:ascii="Arial" w:cs="Arial" w:eastAsia="Arial" w:hAnsi="Arial"/>
          <w:sz w:val="18"/>
          <w:szCs w:val="18"/>
          <w:color w:val="auto"/>
        </w:rPr>
      </w:pPr>
    </w:p>
    <w:p>
      <w:pPr>
        <w:ind w:left="1400" w:right="20" w:hanging="314"/>
        <w:spacing w:after="0" w:line="257"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continued to execute on its capital strategy throughout the operations, driving efficiency, productivity and improving the company’s ability to serve its customers in the corrugated plants. Consistent with its growth strategy, the company completed the acquisition of Advance Packaging during the year.</w:t>
      </w:r>
    </w:p>
    <w:p>
      <w:pPr>
        <w:spacing w:after="0" w:line="94" w:lineRule="exact"/>
        <w:rPr>
          <w:rFonts w:ascii="Arial" w:cs="Arial" w:eastAsia="Arial" w:hAnsi="Arial"/>
          <w:sz w:val="18"/>
          <w:szCs w:val="18"/>
          <w:color w:val="auto"/>
        </w:rPr>
      </w:pPr>
    </w:p>
    <w:p>
      <w:pPr>
        <w:ind w:left="1400" w:right="60" w:hanging="314"/>
        <w:spacing w:after="0" w:line="295" w:lineRule="auto"/>
        <w:tabs>
          <w:tab w:leader="none" w:pos="1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continued to generate cash, and maintained a strong balance sheet and substantial liquidity throughout the year, funding the company’s capital investment program and returning significant value to shareholders. The company paid $380 million in common stock dividends and repurchased $193 million of stock (approximately 1.4 million shares) during the year. The company had approximately $765 million of cash and $323 million of revolving credit borrowing availability at year end.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2021 annual incentive award payouts were made at maximum levels.</w:t>
      </w:r>
    </w:p>
    <w:p>
      <w:pPr>
        <w:spacing w:after="0" w:line="3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Long-Term Equity Awards</w:t>
      </w:r>
    </w:p>
    <w:p>
      <w:pPr>
        <w:spacing w:after="0" w:line="113" w:lineRule="exact"/>
        <w:rPr>
          <w:sz w:val="20"/>
          <w:szCs w:val="20"/>
          <w:color w:val="auto"/>
        </w:rPr>
      </w:pPr>
    </w:p>
    <w:p>
      <w:pPr>
        <w:ind w:right="20" w:firstLine="435"/>
        <w:spacing w:after="0" w:line="267" w:lineRule="auto"/>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Named executive officers have the opportunity to receive equity awards under our Long-Term Equity Incentive Plan. The purpose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is to promote our long-term growth and profitability by aligning the interests of our executive officers with the interests of our stockholders and by attracting, retaining and rewarding the best available persons for positions of responsibility. Our equity awards have resulted in substantial share ownership by our officers. Annual awards have historically been made to the named executive officers on the same date as other plan participants. We make equity awards to all eligible executive and non-executive recipients in the regularly scheduled February meetings of the board of directors and compensation committee at the same time we establish annual incentive award targets, approve our AOP and approve the filing of the Annual Report on Form 10-K, which includes the prior year’s audited financial statements.</w:t>
      </w:r>
    </w:p>
    <w:p>
      <w:pPr>
        <w:spacing w:after="0" w:line="184" w:lineRule="exact"/>
        <w:rPr>
          <w:sz w:val="20"/>
          <w:szCs w:val="20"/>
          <w:color w:val="auto"/>
        </w:rPr>
      </w:pPr>
    </w:p>
    <w:p>
      <w:pPr>
        <w:ind w:right="180" w:firstLine="435"/>
        <w:spacing w:after="0" w:line="304" w:lineRule="auto"/>
        <w:rPr>
          <w:sz w:val="20"/>
          <w:szCs w:val="20"/>
          <w:color w:val="auto"/>
        </w:rPr>
      </w:pPr>
      <w:r>
        <w:rPr>
          <w:rFonts w:ascii="Arial" w:cs="Arial" w:eastAsia="Arial" w:hAnsi="Arial"/>
          <w:sz w:val="16"/>
          <w:szCs w:val="16"/>
          <w:i w:val="1"/>
          <w:iCs w:val="1"/>
          <w:color w:val="auto"/>
        </w:rPr>
        <w:t xml:space="preserve">2021 Award Levels. </w:t>
      </w:r>
      <w:r>
        <w:rPr>
          <w:rFonts w:ascii="Arial" w:cs="Arial" w:eastAsia="Arial" w:hAnsi="Arial"/>
          <w:sz w:val="16"/>
          <w:szCs w:val="16"/>
          <w:color w:val="auto"/>
        </w:rPr>
        <w:t>Our historical approach has been to vary award levels based upon the change in our stock price; i.e., higher or lower stock</w:t>
      </w:r>
      <w:r>
        <w:rPr>
          <w:rFonts w:ascii="Arial" w:cs="Arial" w:eastAsia="Arial" w:hAnsi="Arial"/>
          <w:sz w:val="16"/>
          <w:szCs w:val="16"/>
          <w:i w:val="1"/>
          <w:iCs w:val="1"/>
          <w:color w:val="auto"/>
        </w:rPr>
        <w:t xml:space="preserve"> </w:t>
      </w:r>
      <w:r>
        <w:rPr>
          <w:rFonts w:ascii="Arial" w:cs="Arial" w:eastAsia="Arial" w:hAnsi="Arial"/>
          <w:sz w:val="16"/>
          <w:szCs w:val="16"/>
          <w:color w:val="auto"/>
        </w:rPr>
        <w:t>price drives higher or lower absolute award levels for each officer—we have typically adjusted award levels by approximately half of the percentage change in stock price year over year, and we consider individual adjustments based upon competitive market information,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54610</wp:posOffset>
            </wp:positionV>
            <wp:extent cx="7531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07" w:lineRule="exact"/>
        <w:rPr>
          <w:sz w:val="20"/>
          <w:szCs w:val="20"/>
          <w:color w:val="auto"/>
        </w:rPr>
      </w:pPr>
    </w:p>
    <w:p>
      <w:pPr>
        <w:ind w:left="220" w:hanging="213"/>
        <w:spacing w:after="0" w:line="257" w:lineRule="auto"/>
        <w:tabs>
          <w:tab w:leader="none" w:pos="2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Earnings per share excluding special items is a Non-GAAP financial measure. Important information relating to our use of this Non-GAAP financial measure and a reconciliation of this Non-GAAP financial measure to the most comparable financial measure presented in accordance with GAAP are included in ANNEX A to this proxy statement.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60"/>
          </w:cols>
          <w:pgMar w:left="500" w:top="273" w:right="539" w:bottom="1440" w:gutter="0" w:footer="0" w:header="0"/>
        </w:sectPr>
      </w:pPr>
    </w:p>
    <w:bookmarkStart w:id="26" w:name="page27"/>
    <w:bookmarkEnd w:id="26"/>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performance, retention needs or changes in responsibilities. We did not make any individual adjustments in determining the 2021 awards. Long-term equity award values in 2021 were increased by approximately 21% for each officer from 2020 grant date values of awards, as the stock price increased by approximately 42% year over year from the 2020 grant date.</w:t>
      </w:r>
    </w:p>
    <w:p>
      <w:pPr>
        <w:spacing w:after="0" w:line="188" w:lineRule="exact"/>
        <w:rPr>
          <w:sz w:val="20"/>
          <w:szCs w:val="20"/>
          <w:color w:val="auto"/>
        </w:rPr>
      </w:pPr>
    </w:p>
    <w:p>
      <w:pPr>
        <w:ind w:firstLine="435"/>
        <w:spacing w:after="0" w:line="267" w:lineRule="auto"/>
        <w:rPr>
          <w:sz w:val="20"/>
          <w:szCs w:val="20"/>
          <w:color w:val="auto"/>
        </w:rPr>
      </w:pPr>
      <w:r>
        <w:rPr>
          <w:rFonts w:ascii="Arial" w:cs="Arial" w:eastAsia="Arial" w:hAnsi="Arial"/>
          <w:sz w:val="17"/>
          <w:szCs w:val="17"/>
          <w:i w:val="1"/>
          <w:iCs w:val="1"/>
          <w:color w:val="auto"/>
        </w:rPr>
        <w:t xml:space="preserve">Equity Award Structure. </w:t>
      </w:r>
      <w:r>
        <w:rPr>
          <w:rFonts w:ascii="Arial" w:cs="Arial" w:eastAsia="Arial" w:hAnsi="Arial"/>
          <w:sz w:val="17"/>
          <w:szCs w:val="17"/>
          <w:color w:val="auto"/>
        </w:rPr>
        <w:t>We made three forms of equity awards in 2021 to our executive officers in approximately equal amounts of time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ROIC Units and TSR Units. Restricted stock cliff vests four years after the date of award and the ROIC and TSR Units vest based upon relative return on invested capital and total stockholder return performance, respectively, against a peer group over the relevant performance period. This structure has remained substantially the same since 2018. ROIC is used as a performance measure to reward sustained long-term return-on-capital performance against peer companies with whom we are compared by investors. We selected total stockholder return as a performance measure because it is the ultimate measurement of generation of shareholder value and is commonly used by peer companies as a portion of long-term compensation awarded to executive officers.</w:t>
      </w:r>
    </w:p>
    <w:p>
      <w:pPr>
        <w:spacing w:after="0" w:line="184" w:lineRule="exact"/>
        <w:rPr>
          <w:sz w:val="20"/>
          <w:szCs w:val="20"/>
          <w:color w:val="auto"/>
        </w:rPr>
      </w:pPr>
    </w:p>
    <w:p>
      <w:pPr>
        <w:ind w:right="60" w:firstLine="435"/>
        <w:spacing w:after="0" w:line="250" w:lineRule="auto"/>
        <w:rPr>
          <w:sz w:val="20"/>
          <w:szCs w:val="20"/>
          <w:color w:val="auto"/>
        </w:rPr>
      </w:pPr>
      <w:r>
        <w:rPr>
          <w:rFonts w:ascii="Arial" w:cs="Arial" w:eastAsia="Arial" w:hAnsi="Arial"/>
          <w:sz w:val="18"/>
          <w:szCs w:val="18"/>
          <w:color w:val="auto"/>
        </w:rPr>
        <w:t>The amount paid out under the ROIC Units and the TSR Units will be determined based upon our performance on the applicable performance measure compared to a peer group consisting of the following companies: AptarGroup, Inc; Avery Dennison Corporation; Berry Global, Inc.; Cascades, Inc.; Celanese Corporation; Clearwater Paper Corporation; Crown Holdings, Inc.; Domtar Corporation; PH Glatfelter Co.; Graphic Packaging Holding Company; Greif, Inc.; International Paper Company; OI Glass, Inc.; Resolute Forest Products, Inc.; Sealed Air Corporation; The Sherwin Williams Corporation; Silgan Holdings Inc.; Sonoco Products Co.; and WestRock Company. Holders will also receive dividend equivalents upon vesting with a value equal to the amount of dividends accrued on the shares that actually vest. Dividend equivalents will be paid in cash, unless the committee determines to pay them in shares.</w:t>
      </w:r>
    </w:p>
    <w:p>
      <w:pPr>
        <w:spacing w:after="0" w:line="197" w:lineRule="exact"/>
        <w:rPr>
          <w:sz w:val="20"/>
          <w:szCs w:val="20"/>
          <w:color w:val="auto"/>
        </w:rPr>
      </w:pPr>
    </w:p>
    <w:p>
      <w:pPr>
        <w:ind w:right="120" w:firstLine="435"/>
        <w:spacing w:after="0" w:line="257" w:lineRule="auto"/>
        <w:rPr>
          <w:sz w:val="20"/>
          <w:szCs w:val="20"/>
          <w:color w:val="auto"/>
        </w:rPr>
      </w:pPr>
      <w:r>
        <w:rPr>
          <w:rFonts w:ascii="Arial" w:cs="Arial" w:eastAsia="Arial" w:hAnsi="Arial"/>
          <w:sz w:val="18"/>
          <w:szCs w:val="18"/>
          <w:color w:val="auto"/>
        </w:rPr>
        <w:t>The peer group was intended to be a comprehensive group of publicly traded paper, packaging and other industrial companies, which may compete with us for investor capital. The peer group was not changed from 2021. This group is not intended to be the same group used for comparative assessments as described above under “—Comparative Assessments.”</w:t>
      </w:r>
    </w:p>
    <w:p>
      <w:pPr>
        <w:spacing w:after="0" w:line="188" w:lineRule="exact"/>
        <w:rPr>
          <w:sz w:val="20"/>
          <w:szCs w:val="20"/>
          <w:color w:val="auto"/>
        </w:rPr>
      </w:pPr>
    </w:p>
    <w:p>
      <w:pPr>
        <w:ind w:right="20" w:firstLine="435"/>
        <w:spacing w:after="0" w:line="249" w:lineRule="auto"/>
        <w:rPr>
          <w:sz w:val="20"/>
          <w:szCs w:val="20"/>
          <w:color w:val="auto"/>
        </w:rPr>
      </w:pPr>
      <w:r>
        <w:rPr>
          <w:rFonts w:ascii="Arial" w:cs="Arial" w:eastAsia="Arial" w:hAnsi="Arial"/>
          <w:sz w:val="18"/>
          <w:szCs w:val="18"/>
          <w:color w:val="auto"/>
        </w:rPr>
        <w:t>For the ROIC Units, annual return on invested capital for PCA and each peer company will be calculated for each of 2021, 2022, 2023 and 2024 and averaged. Return on invested capital means pre-tax operating profit before publicly reported special items divided by the sum of net debt and equity. The ROIC Units will vest and pay out on February 23, 2025, the fourth anniversary of the date of the award, as long as the recipient is employed by, or otherwise provides services to, PCA. PCA must perform above the median of the group for the ROIC units to pay out at or above target. If PCA performs in the top three companies in the group, the units will pay out at 120% for first place, 113.33% for second place and 106.66% for third place. If PCA performs between median and fourth place, the units will pay out at 100%. If PCA performs in the third quartile of the group, a number of shares between 40% and 100% of the target number of shares will pay out. If PCA performs in the fourth quartile, no shares will vest. ROIC Units awarded between 2018 and 2020 do not include the discretionary vesting component included in prior year awards and described below under “—Prior Year Awards.”</w:t>
      </w:r>
    </w:p>
    <w:p>
      <w:pPr>
        <w:spacing w:after="0" w:line="200" w:lineRule="exact"/>
        <w:rPr>
          <w:sz w:val="20"/>
          <w:szCs w:val="20"/>
          <w:color w:val="auto"/>
        </w:rPr>
      </w:pPr>
    </w:p>
    <w:p>
      <w:pPr>
        <w:ind w:right="60" w:firstLine="435"/>
        <w:spacing w:after="0" w:line="286" w:lineRule="auto"/>
        <w:rPr>
          <w:sz w:val="20"/>
          <w:szCs w:val="20"/>
          <w:color w:val="auto"/>
        </w:rPr>
      </w:pPr>
      <w:r>
        <w:rPr>
          <w:rFonts w:ascii="Arial" w:cs="Arial" w:eastAsia="Arial" w:hAnsi="Arial"/>
          <w:sz w:val="16"/>
          <w:szCs w:val="16"/>
          <w:color w:val="auto"/>
        </w:rPr>
        <w:t>For the TSR Units, total stockholder return for PCA and each peer company will be calculated for the period beginning on March 1, 2021 and ending on February 29, 2024. The TSR Units will vest and pay out after certification of performance by the committee promptly after the end of the performance period. PCA must perform above the median of the group for the TSR Units to pay out at or above target. If PCA is the highest performer in the peer group, 200% of the target number of shares will vest. If PCA performs between the median and the highest performer of the group, a number of shares between 100% and 200% of the target number of shares will vest. If PCA performs between the 33.33</w:t>
      </w:r>
      <w:r>
        <w:rPr>
          <w:rFonts w:ascii="Arial" w:cs="Arial" w:eastAsia="Arial" w:hAnsi="Arial"/>
          <w:sz w:val="13"/>
          <w:szCs w:val="13"/>
          <w:color w:val="auto"/>
        </w:rPr>
        <w:t>rd</w:t>
      </w:r>
      <w:r>
        <w:rPr>
          <w:rFonts w:ascii="Arial" w:cs="Arial" w:eastAsia="Arial" w:hAnsi="Arial"/>
          <w:sz w:val="16"/>
          <w:szCs w:val="16"/>
          <w:color w:val="auto"/>
        </w:rPr>
        <w:t xml:space="preserve"> percentile and the median, a number of shares between 0% and 100% of the target number of shares will vest. If PCA performs below the 33.33</w:t>
      </w:r>
      <w:r>
        <w:rPr>
          <w:rFonts w:ascii="Arial" w:cs="Arial" w:eastAsia="Arial" w:hAnsi="Arial"/>
          <w:sz w:val="13"/>
          <w:szCs w:val="13"/>
          <w:color w:val="auto"/>
        </w:rPr>
        <w:t>rd</w:t>
      </w:r>
      <w:r>
        <w:rPr>
          <w:rFonts w:ascii="Arial" w:cs="Arial" w:eastAsia="Arial" w:hAnsi="Arial"/>
          <w:sz w:val="16"/>
          <w:szCs w:val="16"/>
          <w:color w:val="auto"/>
        </w:rPr>
        <w:t xml:space="preserve"> percentile, then no shares will vest. The actual number of shares vesting within each range will be determined based upon linear interpolation of PCA’s performance within that range.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80"/>
          </w:cols>
          <w:pgMar w:left="500" w:top="274" w:right="519" w:bottom="1440" w:gutter="0" w:footer="0" w:header="0"/>
        </w:sectPr>
      </w:pPr>
    </w:p>
    <w:bookmarkStart w:id="27" w:name="page28"/>
    <w:bookmarkEnd w:id="27"/>
    <w:p>
      <w:pPr>
        <w:ind w:right="240" w:firstLine="435"/>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Payout of Prior Year Performance Unit Awards. </w:t>
      </w:r>
      <w:r>
        <w:rPr>
          <w:rFonts w:ascii="Arial" w:cs="Arial" w:eastAsia="Arial" w:hAnsi="Arial"/>
          <w:sz w:val="16"/>
          <w:szCs w:val="16"/>
          <w:color w:val="auto"/>
        </w:rPr>
        <w:t>The performance period for the ROIC performance units awarded in 2017 ended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PCA average return on invested capital of the peer group companies for the three years in the performance period was in the top quartile, resulting in 100% of the target shares under the units being earned. Under the terms of those performance units, with top quartile vesting, the committee retained the discretion to award an additional 20% of the target shares at or around the time of the vesting of those units on June 21, 2021 considering factors that it determined to be appropriate. The committee determined not to award shares in 2021 pursuant to this discretionary vesting component and considered its decision not to make such an award as part of its overall determination of 2021 awards.</w:t>
      </w:r>
    </w:p>
    <w:p>
      <w:pPr>
        <w:spacing w:after="0" w:line="168" w:lineRule="exact"/>
        <w:rPr>
          <w:sz w:val="20"/>
          <w:szCs w:val="20"/>
          <w:color w:val="auto"/>
        </w:rPr>
      </w:pPr>
    </w:p>
    <w:p>
      <w:pPr>
        <w:jc w:val="both"/>
        <w:ind w:right="120" w:firstLine="435"/>
        <w:spacing w:after="0" w:line="257" w:lineRule="auto"/>
        <w:rPr>
          <w:sz w:val="20"/>
          <w:szCs w:val="20"/>
          <w:color w:val="auto"/>
        </w:rPr>
      </w:pPr>
      <w:r>
        <w:rPr>
          <w:rFonts w:ascii="Arial" w:cs="Arial" w:eastAsia="Arial" w:hAnsi="Arial"/>
          <w:sz w:val="18"/>
          <w:szCs w:val="18"/>
          <w:color w:val="auto"/>
        </w:rPr>
        <w:t>The performance period for the ROIC performance units awarded in 2018 ended on December 31, 2021. PCA achieved the fifth-highest average return on invested capital of the 20 peer group companies for the three years in the performance period, resulting in 100% of the target shares under the units being earned, subject to continued service through June 26, 2022, the vesting date.</w:t>
      </w:r>
    </w:p>
    <w:p>
      <w:pPr>
        <w:spacing w:after="0" w:line="187" w:lineRule="exact"/>
        <w:rPr>
          <w:sz w:val="20"/>
          <w:szCs w:val="20"/>
          <w:color w:val="auto"/>
        </w:rPr>
      </w:pPr>
    </w:p>
    <w:p>
      <w:pPr>
        <w:ind w:right="20" w:firstLine="435"/>
        <w:spacing w:after="0" w:line="268" w:lineRule="auto"/>
        <w:rPr>
          <w:sz w:val="20"/>
          <w:szCs w:val="20"/>
          <w:color w:val="auto"/>
        </w:rPr>
      </w:pPr>
      <w:r>
        <w:rPr>
          <w:rFonts w:ascii="Arial" w:cs="Arial" w:eastAsia="Arial" w:hAnsi="Arial"/>
          <w:sz w:val="18"/>
          <w:szCs w:val="18"/>
          <w:color w:val="auto"/>
        </w:rPr>
        <w:t>The performance period for the TSR performance units awarded in 2018 ended on June 30, 2021. PCA’s performance was at the 42</w:t>
      </w:r>
      <w:r>
        <w:rPr>
          <w:rFonts w:ascii="Arial" w:cs="Arial" w:eastAsia="Arial" w:hAnsi="Arial"/>
          <w:sz w:val="15"/>
          <w:szCs w:val="15"/>
          <w:color w:val="auto"/>
        </w:rPr>
        <w:t>nd</w:t>
      </w:r>
      <w:r>
        <w:rPr>
          <w:rFonts w:ascii="Arial" w:cs="Arial" w:eastAsia="Arial" w:hAnsi="Arial"/>
          <w:sz w:val="18"/>
          <w:szCs w:val="18"/>
          <w:color w:val="auto"/>
        </w:rPr>
        <w:t xml:space="preserve"> percentile of the peer group, resulting in the units paying out at 52% of target.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Retirement Plans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Effective May 1, 2004, we adopted a grandfathered pension plan for certain salaried employees (the “PCA Pension Plan”), including</w:t>
      </w:r>
    </w:p>
    <w:p>
      <w:pPr>
        <w:spacing w:after="0" w:line="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Mr. Kowlzan, Mr. Hassfurther and Mr. Shirley, each of whom previously had participated in the pension plan of our former parent company, Pactiv Corporation. During the period from April 12, 1999, when we became a stand-alone company, through April 30, 2004, PCA eligible salaried employees, including Mr. Kowlzan, Mr. Hassfurther and Mr. Shirley, were allowed to continue to participate in the Pactiv pension plans and Pactiv’s supplemental executive retirement plan, for an agreed upon fee paid by us to Pactiv. The benefit formula for the PCA Pension Plan is comparable to that of the Pactiv pension plan except that the PCA Pension Plan uses career average base pay in the benefit formula in lieu of final average base pay. The PCA Pension Plan recognizes service earned under both the new PCA Pension Plan and the prior Pactiv pension plan. Benefits earned under the PCA Pension Plan are reduced by retirement benefits earned under the Pactiv pension plan through April 30, 2004. All assets and liabilities associated with benefits earned through April 30, 2004 for our salaried employees and retirees were retained by the Pactiv pension plan.</w:t>
      </w:r>
    </w:p>
    <w:p>
      <w:pPr>
        <w:spacing w:after="0" w:line="172" w:lineRule="exact"/>
        <w:rPr>
          <w:sz w:val="20"/>
          <w:szCs w:val="20"/>
          <w:color w:val="auto"/>
        </w:rPr>
      </w:pPr>
    </w:p>
    <w:p>
      <w:pPr>
        <w:jc w:val="both"/>
        <w:ind w:right="140" w:firstLine="435"/>
        <w:spacing w:after="0" w:line="295" w:lineRule="auto"/>
        <w:rPr>
          <w:sz w:val="20"/>
          <w:szCs w:val="20"/>
          <w:color w:val="auto"/>
        </w:rPr>
      </w:pPr>
      <w:r>
        <w:rPr>
          <w:rFonts w:ascii="Arial" w:cs="Arial" w:eastAsia="Arial" w:hAnsi="Arial"/>
          <w:sz w:val="16"/>
          <w:szCs w:val="16"/>
          <w:color w:val="auto"/>
        </w:rPr>
        <w:t>In addition to the PCA Pension Plan, Mr. Kowlzan, Mr. Hassfurther and Mr. Shirley participate in a PCA supplemental executive retirement plan (the “SERP”). Benefits are determined using the same formula as the PCA Pension Plan but in addition to counting career average base pay, the SERP also recognizes incentive awards and any pay earned in excess of IRS qualified plan compensation limits. Benefits earned under the SERP are reduced by benefits paid from the PCA Pension Plan and any prior qualified pension and SERP benefits earned under the Pactiv pension plan.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Mr. Mundy and Mr. Carter do not receive any pension benefits because they joined PCA after April 12, 1999.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19" w:lineRule="exact"/>
        <w:rPr>
          <w:sz w:val="20"/>
          <w:szCs w:val="20"/>
          <w:color w:val="auto"/>
        </w:rPr>
      </w:pPr>
    </w:p>
    <w:p>
      <w:pPr>
        <w:ind w:right="160" w:firstLine="435"/>
        <w:spacing w:after="0" w:line="251" w:lineRule="auto"/>
        <w:rPr>
          <w:sz w:val="20"/>
          <w:szCs w:val="20"/>
          <w:color w:val="auto"/>
        </w:rPr>
      </w:pPr>
      <w:r>
        <w:rPr>
          <w:rFonts w:ascii="Arial" w:cs="Arial" w:eastAsia="Arial" w:hAnsi="Arial"/>
          <w:sz w:val="18"/>
          <w:szCs w:val="18"/>
          <w:color w:val="auto"/>
        </w:rPr>
        <w:t>We offer a defined contribution 401(k) plan to our salaried employees, including the named executive officers. We have historically provided to PCA employees a company matching contribution of up to 5.2% of participant contributions and a company retirement contribution for employees not eligible to participate in our defined benefit pension plan, including Mr. Mundy and Mr. Carter. For certain highly compensated salaried employees including the named executive officers, who make the maximum contribution to the plan permitted by tax regulations, we provide an extended match program under which the equivalent amount of the suspended company matching contribution is paid directly to the employee in the form of supplemental, taxable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500" w:top="274" w:right="5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Deferred Compensation Plan</w:t>
      </w:r>
    </w:p>
    <w:p>
      <w:pPr>
        <w:spacing w:after="0" w:line="119" w:lineRule="exact"/>
        <w:rPr>
          <w:sz w:val="20"/>
          <w:szCs w:val="20"/>
          <w:color w:val="auto"/>
        </w:rPr>
      </w:pPr>
    </w:p>
    <w:p>
      <w:pPr>
        <w:ind w:firstLine="435"/>
        <w:spacing w:after="0" w:line="257" w:lineRule="auto"/>
        <w:rPr>
          <w:sz w:val="20"/>
          <w:szCs w:val="20"/>
          <w:color w:val="auto"/>
        </w:rPr>
      </w:pPr>
      <w:r>
        <w:rPr>
          <w:rFonts w:ascii="Arial" w:cs="Arial" w:eastAsia="Arial" w:hAnsi="Arial"/>
          <w:sz w:val="18"/>
          <w:szCs w:val="18"/>
          <w:color w:val="auto"/>
        </w:rPr>
        <w:t>We provide a voluntary non-qualified deferred compensation plan for eligible officers, including the named executive officers. Certain officers not eligible to participate in the defined benefit pension plan, including Mr. Mundy and Mr. Carter, receive an annual contribution to the deferred compensation plan in lieu of pension benefits.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119" w:lineRule="exact"/>
        <w:rPr>
          <w:sz w:val="20"/>
          <w:szCs w:val="20"/>
          <w:color w:val="auto"/>
        </w:rPr>
      </w:pPr>
    </w:p>
    <w:p>
      <w:pPr>
        <w:ind w:right="760" w:firstLine="435"/>
        <w:spacing w:after="0" w:line="267" w:lineRule="auto"/>
        <w:rPr>
          <w:sz w:val="20"/>
          <w:szCs w:val="20"/>
          <w:color w:val="auto"/>
        </w:rPr>
      </w:pPr>
      <w:r>
        <w:rPr>
          <w:rFonts w:ascii="Arial" w:cs="Arial" w:eastAsia="Arial" w:hAnsi="Arial"/>
          <w:sz w:val="18"/>
          <w:szCs w:val="18"/>
          <w:color w:val="auto"/>
        </w:rPr>
        <w:t>Other than club memberships for officers and key management with sales responsibilities, including Mr. Hassfurther, we do not provide perquisites.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named executive officers are offered health coverage, life and disability insurance under the same programs as all other salaried employees.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a Change of Control</w:t>
      </w:r>
    </w:p>
    <w:p>
      <w:pPr>
        <w:spacing w:after="0" w:line="119" w:lineRule="exact"/>
        <w:rPr>
          <w:sz w:val="20"/>
          <w:szCs w:val="20"/>
          <w:color w:val="auto"/>
        </w:rPr>
      </w:pPr>
    </w:p>
    <w:p>
      <w:pPr>
        <w:ind w:right="40" w:firstLine="435"/>
        <w:spacing w:after="0" w:line="251" w:lineRule="auto"/>
        <w:rPr>
          <w:sz w:val="20"/>
          <w:szCs w:val="20"/>
          <w:color w:val="auto"/>
        </w:rPr>
      </w:pPr>
      <w:r>
        <w:rPr>
          <w:rFonts w:ascii="Arial" w:cs="Arial" w:eastAsia="Arial" w:hAnsi="Arial"/>
          <w:sz w:val="18"/>
          <w:szCs w:val="18"/>
          <w:color w:val="auto"/>
        </w:rPr>
        <w:t>Changes in employment status such as termination, death or disability, a change of control or retirement can trigger a benefit or accelerate a benefit for our salaried employees, including the named executive officers. These payments are described below. Named executive officers are not entitled to receive any incremental benefits or accelerated benefits that are different in scope, terms or operation than what are generally available to our salaried employees who are eligible to participate in our various compensation plans. However, the committee will consider post-retirement or post-termination arrangements and acceleration or continued vesting of certain equity awards for named executive officers on a case-by-case basis in the event of a retirement or termination.</w:t>
      </w:r>
    </w:p>
    <w:p>
      <w:pPr>
        <w:spacing w:after="0" w:line="3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Payments Made Upon Termination</w:t>
      </w:r>
    </w:p>
    <w:p>
      <w:pPr>
        <w:spacing w:after="0" w:line="113" w:lineRule="exact"/>
        <w:rPr>
          <w:sz w:val="20"/>
          <w:szCs w:val="20"/>
          <w:color w:val="auto"/>
        </w:rPr>
      </w:pPr>
    </w:p>
    <w:p>
      <w:pPr>
        <w:ind w:right="20" w:firstLine="435"/>
        <w:spacing w:after="0" w:line="257" w:lineRule="auto"/>
        <w:rPr>
          <w:sz w:val="20"/>
          <w:szCs w:val="20"/>
          <w:color w:val="auto"/>
        </w:rPr>
      </w:pPr>
      <w:r>
        <w:rPr>
          <w:rFonts w:ascii="Arial" w:cs="Arial" w:eastAsia="Arial" w:hAnsi="Arial"/>
          <w:sz w:val="18"/>
          <w:szCs w:val="18"/>
          <w:color w:val="auto"/>
        </w:rPr>
        <w:t>In general, when a named executive officer terminates employment with us, other than a termination for cause, the named executive officer is entitled to receive the amounts they have earned during the term of their employment and any benefits allowed as part of our compensation plans. These amounts that they will receive include the following:</w:t>
      </w:r>
    </w:p>
    <w:p>
      <w:pPr>
        <w:spacing w:after="0" w:line="95" w:lineRule="exact"/>
        <w:rPr>
          <w:sz w:val="20"/>
          <w:szCs w:val="20"/>
          <w:color w:val="auto"/>
        </w:rPr>
      </w:pPr>
    </w:p>
    <w:p>
      <w:pPr>
        <w:ind w:left="960" w:hanging="42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contributed under the defined contribution plan and the deferred compensation plan;</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unused vacation pay; and</w:t>
      </w:r>
    </w:p>
    <w:p>
      <w:pPr>
        <w:spacing w:after="0" w:line="126" w:lineRule="exact"/>
        <w:rPr>
          <w:rFonts w:ascii="Arial" w:cs="Arial" w:eastAsia="Arial" w:hAnsi="Arial"/>
          <w:sz w:val="18"/>
          <w:szCs w:val="18"/>
          <w:color w:val="auto"/>
        </w:rPr>
      </w:pPr>
    </w:p>
    <w:p>
      <w:pPr>
        <w:ind w:left="960" w:right="40" w:hanging="420"/>
        <w:spacing w:after="0" w:line="26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accrued and vested under the defined benefit retirement plans and the SERP for those eligible named executive officers who have reached the eligible retirement age.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Payments Made Upon Death or Disability</w:t>
      </w:r>
    </w:p>
    <w:p>
      <w:pPr>
        <w:spacing w:after="0" w:line="113" w:lineRule="exact"/>
        <w:rPr>
          <w:sz w:val="20"/>
          <w:szCs w:val="20"/>
          <w:color w:val="auto"/>
        </w:rPr>
      </w:pPr>
    </w:p>
    <w:p>
      <w:pPr>
        <w:ind w:right="80" w:firstLine="435"/>
        <w:spacing w:after="0" w:line="285" w:lineRule="auto"/>
        <w:rPr>
          <w:sz w:val="20"/>
          <w:szCs w:val="20"/>
          <w:color w:val="auto"/>
        </w:rPr>
      </w:pPr>
      <w:r>
        <w:rPr>
          <w:rFonts w:ascii="Arial" w:cs="Arial" w:eastAsia="Arial" w:hAnsi="Arial"/>
          <w:sz w:val="16"/>
          <w:szCs w:val="16"/>
          <w:color w:val="auto"/>
        </w:rPr>
        <w:t>In the event of the death or disability of a named executive officer, in addition to the items identified above, all named executive officers will receive benefits under our disability plan or payments under our life insurance plan, as appropriate. Under our equity incentive plan, upon death or disability, generally all restrictions on restricted stock will lapse. In the event of death, (a) the TSR Units will vest on the date of death and pay out a pro-rated portion through the date of death of the holder, based upon actual performance through the date of death; and (b) ROIC Units will vest on the date of death and pay out based upon actual performance through the calendar year preceding the date of death (or at the target level if the date of death is before the end of the first year of the performance period). In the event of disability, (a) the TSR Units will not vest early and will pay out a pro-rated portion through the date of disability based upon performance through the entire performance period; and (b) ROIC Units will not vest early and will pay out on the fourth anniversary of the award date based upon actual performance through the entire performance period.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60"/>
          </w:cols>
          <w:pgMar w:left="500" w:top="268" w:right="539" w:bottom="1440" w:gutter="0" w:footer="0" w:header="0"/>
        </w:sectPr>
      </w:pPr>
    </w:p>
    <w:bookmarkStart w:id="29" w:name="page30"/>
    <w:bookmarkEnd w:id="29"/>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Payments Made Upon a Change of Control</w:t>
      </w:r>
    </w:p>
    <w:p>
      <w:pPr>
        <w:spacing w:after="0" w:line="113" w:lineRule="exact"/>
        <w:rPr>
          <w:sz w:val="20"/>
          <w:szCs w:val="20"/>
          <w:color w:val="auto"/>
        </w:rPr>
      </w:pPr>
    </w:p>
    <w:p>
      <w:pPr>
        <w:ind w:firstLine="435"/>
        <w:spacing w:after="0" w:line="268" w:lineRule="auto"/>
        <w:rPr>
          <w:sz w:val="20"/>
          <w:szCs w:val="20"/>
          <w:color w:val="auto"/>
        </w:rPr>
      </w:pPr>
      <w:r>
        <w:rPr>
          <w:rFonts w:ascii="Arial" w:cs="Arial" w:eastAsia="Arial" w:hAnsi="Arial"/>
          <w:sz w:val="17"/>
          <w:szCs w:val="17"/>
          <w:color w:val="auto"/>
        </w:rPr>
        <w:t>There are no employment agreements for any named executive officers, nor are we contractually obligated to make any type of cash payment to any named executive officer in the event of a change of control. Equity awards include double trigger change of control provisions. If a substitute equity award meeting certain conditions is provided to the executive officer in connection with a change of control, that award will not vest as a result of the change of control unless the officer’s employment is terminated or the officer resigns for good reason within two years after a change of control. “Good reason” includes breach of certain obligations by the company, diminution of duties or authority of the officer, certain reductions of compensation of the officer or relocation of the principal office where the officer works.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Benefits</w:t>
      </w:r>
    </w:p>
    <w:p>
      <w:pPr>
        <w:spacing w:after="0" w:line="119" w:lineRule="exact"/>
        <w:rPr>
          <w:sz w:val="20"/>
          <w:szCs w:val="20"/>
          <w:color w:val="auto"/>
        </w:rPr>
      </w:pPr>
    </w:p>
    <w:p>
      <w:pPr>
        <w:ind w:right="40" w:firstLine="435"/>
        <w:spacing w:after="0" w:line="270" w:lineRule="auto"/>
        <w:rPr>
          <w:sz w:val="20"/>
          <w:szCs w:val="20"/>
          <w:color w:val="auto"/>
        </w:rPr>
      </w:pPr>
      <w:r>
        <w:rPr>
          <w:rFonts w:ascii="Arial" w:cs="Arial" w:eastAsia="Arial" w:hAnsi="Arial"/>
          <w:sz w:val="17"/>
          <w:szCs w:val="17"/>
          <w:color w:val="auto"/>
        </w:rPr>
        <w:t>We have no contractual obligation to pay severance to any of our named executive officers in the event of a termination. Any severance payments made to our named executive officers would be considered on a case-by-case basis, and any payment of severance that might be deemed appropriate would require approval of the committee. The committee will assess post-retirement arrangements with retiring named executive officers on a case-by-case basis, taking into account transitional needs, expertise needed, customer relationships, the company’s succession plans and other factors, such as non-competition and non-solicitation covenants, that the committee determines to be important.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Implications</w:t>
      </w:r>
    </w:p>
    <w:p>
      <w:pPr>
        <w:spacing w:after="0" w:line="119" w:lineRule="exact"/>
        <w:rPr>
          <w:sz w:val="20"/>
          <w:szCs w:val="20"/>
          <w:color w:val="auto"/>
        </w:rPr>
      </w:pPr>
    </w:p>
    <w:p>
      <w:pPr>
        <w:ind w:right="20" w:firstLine="435"/>
        <w:spacing w:after="0" w:line="266" w:lineRule="auto"/>
        <w:rPr>
          <w:sz w:val="20"/>
          <w:szCs w:val="20"/>
          <w:color w:val="auto"/>
        </w:rPr>
      </w:pPr>
      <w:r>
        <w:rPr>
          <w:rFonts w:ascii="Arial" w:cs="Arial" w:eastAsia="Arial" w:hAnsi="Arial"/>
          <w:sz w:val="17"/>
          <w:szCs w:val="17"/>
          <w:color w:val="auto"/>
        </w:rPr>
        <w:t>The committee has considered the provisions of Code Section 162(m), which generally limits the annual tax deductibility of compensation paid to each named executive officer to $1 million. This limitation previously did not apply to compensation that met the Code requirements for “qualifying performance-based” compensation. In the past, we designed our compensation programs to qualify for this performance-based exception. With the passage of the Tax Cuts and Jobs Act of 2017, this exemption has been removed, effective for taxable years beginning after December 31, 2017. Therefore, we expect that compensation paid to our covered executive officers in excess of $1 million is not deductible. Although the committee will continue to consider tax deductibility of compensation as one of many factors, the committee believes that it is in the best interests of our shareholders and our company to maintain the flexibility to structure our compensation programs to appropriately and competitively compensate our executive officers, even if these programs may result in non-deductible compensation expense.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Applicable to Executive Officers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Our Stock</w:t>
      </w:r>
    </w:p>
    <w:p>
      <w:pPr>
        <w:spacing w:after="0" w:line="113" w:lineRule="exact"/>
        <w:rPr>
          <w:sz w:val="20"/>
          <w:szCs w:val="20"/>
          <w:color w:val="auto"/>
        </w:rPr>
      </w:pPr>
    </w:p>
    <w:p>
      <w:pPr>
        <w:ind w:right="20" w:firstLine="435"/>
        <w:spacing w:after="0" w:line="273" w:lineRule="auto"/>
        <w:rPr>
          <w:sz w:val="20"/>
          <w:szCs w:val="20"/>
          <w:color w:val="auto"/>
        </w:rPr>
      </w:pPr>
      <w:r>
        <w:rPr>
          <w:rFonts w:ascii="Arial" w:cs="Arial" w:eastAsia="Arial" w:hAnsi="Arial"/>
          <w:sz w:val="17"/>
          <w:szCs w:val="17"/>
          <w:color w:val="auto"/>
        </w:rPr>
        <w:t>Our trading policy prohibits our directors and executive officers from participating in short-swing trading, short selling or pledging our stock. Our policy prohibits certain hedging transactions, including transactions in options and other derivative securities relating to PCA common stock in any market. All transactions in PCA common stock by our directors and executive officers are subject to trading window periods and additionally must be pre-cleared by our chief executive officer and our general counsel to ensure compliance with applicable securities laws.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Recovery Policy</w:t>
      </w:r>
    </w:p>
    <w:p>
      <w:pPr>
        <w:spacing w:after="0" w:line="113" w:lineRule="exact"/>
        <w:rPr>
          <w:sz w:val="20"/>
          <w:szCs w:val="20"/>
          <w:color w:val="auto"/>
        </w:rPr>
      </w:pPr>
    </w:p>
    <w:p>
      <w:pPr>
        <w:ind w:right="240" w:firstLine="435"/>
        <w:spacing w:after="0" w:line="295" w:lineRule="auto"/>
        <w:rPr>
          <w:sz w:val="20"/>
          <w:szCs w:val="20"/>
          <w:color w:val="auto"/>
        </w:rPr>
      </w:pPr>
      <w:r>
        <w:rPr>
          <w:rFonts w:ascii="Arial" w:cs="Arial" w:eastAsia="Arial" w:hAnsi="Arial"/>
          <w:sz w:val="16"/>
          <w:szCs w:val="16"/>
          <w:color w:val="auto"/>
        </w:rPr>
        <w:t>We have an executive compensation recovery policy, which relates to the recoupment of any bonus, equity-based award or other compensation given to a current or former corporate officer, as defined in the policy, in the event of a restatement of the company’s reported financial results. The named executive officers are included within this policy. If the compensation committee determines that any compensation was made to one of the covered officers based on later restated financial statements, the committee may adjust such compensation within</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40"/>
          </w:cols>
          <w:pgMar w:left="500" w:top="274" w:right="559" w:bottom="1440" w:gutter="0" w:footer="0" w:header="0"/>
        </w:sectPr>
      </w:pPr>
    </w:p>
    <w:bookmarkStart w:id="30" w:name="page31"/>
    <w:bookmarkEnd w:id="30"/>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60 months of the restatement, and may seek to recover the part of any compensation that was paid based upon the financial performance in the reported financial statements that were restated. If the individual fails to repay any amount required under this policy, the committee may pursue appropriate legal remedies to recoup such amount. The committee may set-off the amount owed against any amount or award that would otherwise be granted to the individual or reduce any future compensation or benefit to such individual. The compensation committee will revise the policy consistent with regulations under the Dodd-Frank Act once those regulations are final.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Ownership Guidelines</w:t>
      </w:r>
    </w:p>
    <w:p>
      <w:pPr>
        <w:spacing w:after="0" w:line="113" w:lineRule="exact"/>
        <w:rPr>
          <w:sz w:val="20"/>
          <w:szCs w:val="20"/>
          <w:color w:val="auto"/>
        </w:rPr>
      </w:pPr>
    </w:p>
    <w:p>
      <w:pPr>
        <w:ind w:right="220" w:firstLine="435"/>
        <w:spacing w:after="0" w:line="267" w:lineRule="auto"/>
        <w:rPr>
          <w:sz w:val="20"/>
          <w:szCs w:val="20"/>
          <w:color w:val="auto"/>
        </w:rPr>
      </w:pPr>
      <w:r>
        <w:rPr>
          <w:rFonts w:ascii="Arial" w:cs="Arial" w:eastAsia="Arial" w:hAnsi="Arial"/>
          <w:sz w:val="18"/>
          <w:szCs w:val="18"/>
          <w:color w:val="auto"/>
        </w:rPr>
        <w:t>We maintain stock ownership guidelines that apply to all of our directors and our executive officers. The individual guidelines are owning stock having a value equal to or greater than:</w:t>
      </w:r>
    </w:p>
    <w:p>
      <w:pPr>
        <w:spacing w:after="0" w:line="86" w:lineRule="exact"/>
        <w:rPr>
          <w:sz w:val="20"/>
          <w:szCs w:val="20"/>
          <w:color w:val="auto"/>
        </w:rPr>
      </w:pPr>
    </w:p>
    <w:p>
      <w:pPr>
        <w:ind w:left="960" w:hanging="42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6x annual base salary for the Chief Executive Officer;</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4.5x annual base salary for Executive Vice Presidents and Senior Vice Presidents first elected before 2019; and</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3x annual base salary for other executive officers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Non-management directors must hold stock having a value equal to at least $325,000.</w:t>
      </w:r>
    </w:p>
    <w:p>
      <w:pPr>
        <w:spacing w:after="0" w:line="219" w:lineRule="exact"/>
        <w:rPr>
          <w:sz w:val="20"/>
          <w:szCs w:val="20"/>
          <w:color w:val="auto"/>
        </w:rPr>
      </w:pPr>
    </w:p>
    <w:p>
      <w:pPr>
        <w:ind w:right="260" w:firstLine="435"/>
        <w:spacing w:after="0" w:line="282" w:lineRule="auto"/>
        <w:rPr>
          <w:sz w:val="20"/>
          <w:szCs w:val="20"/>
          <w:color w:val="auto"/>
        </w:rPr>
      </w:pPr>
      <w:r>
        <w:rPr>
          <w:rFonts w:ascii="Arial" w:cs="Arial" w:eastAsia="Arial" w:hAnsi="Arial"/>
          <w:sz w:val="16"/>
          <w:szCs w:val="16"/>
          <w:color w:val="auto"/>
        </w:rPr>
        <w:t>The committee may, from time to time, temporarily suspend or reevaluate and revise participants’ guidelines to give effect to changes in our common stock price or other factors the committee deems relevant. Shares that count towards satisfaction of the guidelines include: (1) shares owned outright by the participant or an immediate family member that shares the same household; (2) shares held in our defined contribution plans; and</w:t>
      </w:r>
    </w:p>
    <w:p>
      <w:pPr>
        <w:spacing w:after="0" w:line="2" w:lineRule="exact"/>
        <w:rPr>
          <w:sz w:val="20"/>
          <w:szCs w:val="20"/>
          <w:color w:val="auto"/>
        </w:rPr>
      </w:pPr>
    </w:p>
    <w:p>
      <w:pPr>
        <w:ind w:right="320" w:firstLine="7"/>
        <w:spacing w:after="0" w:line="254" w:lineRule="auto"/>
        <w:tabs>
          <w:tab w:leader="none" w:pos="2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restricted stock or restricted stock units issued by us, whether or not vested. Shares underlying option awards and performance units do not count toward achievement of the share ownership guidelines.</w:t>
      </w:r>
    </w:p>
    <w:p>
      <w:pPr>
        <w:spacing w:after="0" w:line="191" w:lineRule="exact"/>
        <w:rPr>
          <w:sz w:val="20"/>
          <w:szCs w:val="20"/>
          <w:color w:val="auto"/>
        </w:rPr>
      </w:pPr>
    </w:p>
    <w:p>
      <w:pPr>
        <w:ind w:right="340" w:firstLine="435"/>
        <w:spacing w:after="0" w:line="304" w:lineRule="auto"/>
        <w:rPr>
          <w:sz w:val="20"/>
          <w:szCs w:val="20"/>
          <w:color w:val="auto"/>
        </w:rPr>
      </w:pPr>
      <w:r>
        <w:rPr>
          <w:rFonts w:ascii="Arial" w:cs="Arial" w:eastAsia="Arial" w:hAnsi="Arial"/>
          <w:sz w:val="16"/>
          <w:szCs w:val="16"/>
          <w:color w:val="auto"/>
        </w:rPr>
        <w:t>Participants are required to achieve their guideline within five years of becoming subject to the guidelines. The committee has the authority to review each participant’s compliance (or progress towards compliance) with the guidelines from time to time. In its discretion, the committee may impose conditions, restrictions or limitations on any non-compliant participant as the committee determines to be necessary or appropriate.</w:t>
      </w:r>
    </w:p>
    <w:p>
      <w:pPr>
        <w:spacing w:after="0" w:line="154" w:lineRule="exact"/>
        <w:rPr>
          <w:sz w:val="20"/>
          <w:szCs w:val="20"/>
          <w:color w:val="auto"/>
        </w:rPr>
      </w:pPr>
    </w:p>
    <w:p>
      <w:pPr>
        <w:ind w:right="540" w:firstLine="435"/>
        <w:spacing w:after="0" w:line="267" w:lineRule="auto"/>
        <w:rPr>
          <w:sz w:val="20"/>
          <w:szCs w:val="20"/>
          <w:color w:val="auto"/>
        </w:rPr>
      </w:pPr>
      <w:r>
        <w:rPr>
          <w:rFonts w:ascii="Arial" w:cs="Arial" w:eastAsia="Arial" w:hAnsi="Arial"/>
          <w:sz w:val="18"/>
          <w:szCs w:val="18"/>
          <w:color w:val="auto"/>
        </w:rPr>
        <w:t>All of our non-management directors and named executive officers are in compliance with, or are achieving adequate progress towards, the guidelines.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500" w:top="274" w:right="5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COMPENSATION COMMITTEE REPORT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compensation committee of the board of directors has reviewed and discussed the Compensation Discussion and Analysis required by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Item 402(b) of Regulation S-K with management and, based on such review and discussions, the committee recommended to the board of directors that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Discussion and Analysis be included in this Proxy Statement.</w:t>
      </w:r>
    </w:p>
    <w:p>
      <w:pPr>
        <w:spacing w:after="0" w:line="208" w:lineRule="exact"/>
        <w:rPr>
          <w:sz w:val="20"/>
          <w:szCs w:val="20"/>
          <w:color w:val="auto"/>
        </w:rPr>
      </w:pPr>
    </w:p>
    <w:p>
      <w:pPr>
        <w:ind w:left="5880"/>
        <w:spacing w:after="0"/>
        <w:rPr>
          <w:sz w:val="20"/>
          <w:szCs w:val="20"/>
          <w:color w:val="auto"/>
        </w:rPr>
      </w:pPr>
      <w:r>
        <w:rPr>
          <w:rFonts w:ascii="Arial" w:cs="Arial" w:eastAsia="Arial" w:hAnsi="Arial"/>
          <w:sz w:val="18"/>
          <w:szCs w:val="18"/>
          <w:b w:val="1"/>
          <w:bCs w:val="1"/>
          <w:i w:val="1"/>
          <w:iCs w:val="1"/>
          <w:color w:val="auto"/>
        </w:rPr>
        <w:t>The Compensation Committee</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James D. Woodrum, Chair</w:t>
      </w:r>
    </w:p>
    <w:p>
      <w:pPr>
        <w:spacing w:after="0" w:line="1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Samuel M. Mencoff</w:t>
      </w:r>
    </w:p>
    <w:p>
      <w:pPr>
        <w:spacing w:after="0" w:line="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Roger B. Porter</w:t>
      </w:r>
    </w:p>
    <w:p>
      <w:pPr>
        <w:spacing w:after="0" w:line="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Thomas S. Souleles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Change in</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89"/>
              </w:rPr>
              <w:t>Pension</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9"/>
              </w:rPr>
              <w:t>Value &amp;</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6"/>
              </w:rPr>
              <w:t>Non-Equity</w:t>
            </w:r>
          </w:p>
        </w:tc>
        <w:tc>
          <w:tcPr>
            <w:tcW w:w="106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3"/>
              </w:rPr>
              <w:t>Nonqualified</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2"/>
              </w:rPr>
              <w:t>Incentive</w:t>
            </w:r>
          </w:p>
        </w:tc>
        <w:tc>
          <w:tcPr>
            <w:tcW w:w="106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7"/>
              </w:rPr>
              <w:t>Deferred</w:t>
            </w: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Name and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1"/>
              </w:rPr>
              <w:t>Stock</w:t>
            </w:r>
          </w:p>
        </w:tc>
        <w:tc>
          <w:tcPr>
            <w:tcW w:w="106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4"/>
              </w:rPr>
              <w:t>Plan</w:t>
            </w:r>
          </w:p>
        </w:tc>
        <w:tc>
          <w:tcPr>
            <w:tcW w:w="106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1"/>
              </w:rPr>
              <w:t>Compensation</w:t>
            </w:r>
          </w:p>
        </w:tc>
        <w:tc>
          <w:tcPr>
            <w:tcW w:w="108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8"/>
              </w:rPr>
              <w:t>All Other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3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2"/>
          </w:tcPr>
          <w:p>
            <w:pPr>
              <w:ind w:left="140"/>
              <w:spacing w:after="0" w:line="125" w:lineRule="exact"/>
              <w:rPr>
                <w:sz w:val="20"/>
                <w:szCs w:val="20"/>
                <w:color w:val="auto"/>
              </w:rPr>
            </w:pPr>
            <w:r>
              <w:rPr>
                <w:rFonts w:ascii="Arial" w:cs="Arial" w:eastAsia="Arial" w:hAnsi="Arial"/>
                <w:sz w:val="12"/>
                <w:szCs w:val="12"/>
                <w:b w:val="1"/>
                <w:bCs w:val="1"/>
                <w:color w:val="auto"/>
              </w:rPr>
              <w:t>Salary</w:t>
            </w:r>
          </w:p>
        </w:tc>
        <w:tc>
          <w:tcPr>
            <w:tcW w:w="88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6"/>
              </w:rPr>
              <w:t>Awards</w:t>
            </w:r>
          </w:p>
        </w:tc>
        <w:tc>
          <w:tcPr>
            <w:tcW w:w="106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1"/>
              </w:rPr>
              <w:t>Compensation</w:t>
            </w:r>
          </w:p>
        </w:tc>
        <w:tc>
          <w:tcPr>
            <w:tcW w:w="106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3"/>
              </w:rPr>
              <w:t>Earnings</w:t>
            </w:r>
          </w:p>
        </w:tc>
        <w:tc>
          <w:tcPr>
            <w:tcW w:w="108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3"/>
              </w:rPr>
              <w:t>Compensation</w:t>
            </w:r>
          </w:p>
        </w:tc>
        <w:tc>
          <w:tcPr>
            <w:tcW w:w="760" w:type="dxa"/>
            <w:vAlign w:val="bottom"/>
            <w:gridSpan w:val="2"/>
          </w:tcPr>
          <w:p>
            <w:pPr>
              <w:ind w:left="220"/>
              <w:spacing w:after="0" w:line="12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7"/>
        </w:trPr>
        <w:tc>
          <w:tcPr>
            <w:tcW w:w="4360" w:type="dxa"/>
            <w:vAlign w:val="bottom"/>
            <w:gridSpan w:val="3"/>
          </w:tcPr>
          <w:p>
            <w:pPr>
              <w:spacing w:after="0"/>
              <w:rPr>
                <w:sz w:val="20"/>
                <w:szCs w:val="20"/>
                <w:color w:val="auto"/>
              </w:rPr>
            </w:pPr>
            <w:r>
              <w:rPr>
                <w:rFonts w:ascii="Arial" w:cs="Arial" w:eastAsia="Arial" w:hAnsi="Arial"/>
                <w:sz w:val="12"/>
                <w:szCs w:val="12"/>
                <w:b w:val="1"/>
                <w:bCs w:val="1"/>
                <w:color w:val="auto"/>
              </w:rPr>
              <w:t>Principal Position</w:t>
            </w:r>
          </w:p>
        </w:tc>
        <w:tc>
          <w:tcPr>
            <w:tcW w:w="220" w:type="dxa"/>
            <w:vAlign w:val="bottom"/>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Year</w:t>
            </w:r>
          </w:p>
        </w:tc>
        <w:tc>
          <w:tcPr>
            <w:tcW w:w="620" w:type="dxa"/>
            <w:vAlign w:val="bottom"/>
          </w:tcPr>
          <w:p>
            <w:pPr>
              <w:jc w:val="right"/>
              <w:ind w:right="170"/>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($)(1)</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2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5"/>
              </w:rPr>
              <w:t>($)(3)</w:t>
            </w:r>
          </w:p>
        </w:tc>
        <w:tc>
          <w:tcPr>
            <w:tcW w:w="2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2"/>
                <w:szCs w:val="12"/>
                <w:color w:val="auto"/>
              </w:rPr>
            </w:pPr>
          </w:p>
        </w:tc>
        <w:tc>
          <w:tcPr>
            <w:tcW w:w="720" w:type="dxa"/>
            <w:vAlign w:val="bottom"/>
          </w:tcPr>
          <w:p>
            <w:pPr>
              <w:jc w:val="right"/>
              <w:ind w:right="230"/>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4340" w:type="dxa"/>
            <w:vAlign w:val="bottom"/>
            <w:gridSpan w:val="2"/>
            <w:shd w:val="clear" w:color="auto" w:fill="CCEEFF"/>
          </w:tcPr>
          <w:p>
            <w:pPr>
              <w:spacing w:after="0" w:line="115" w:lineRule="exact"/>
              <w:rPr>
                <w:sz w:val="20"/>
                <w:szCs w:val="20"/>
                <w:color w:val="auto"/>
              </w:rPr>
            </w:pPr>
            <w:r>
              <w:rPr>
                <w:rFonts w:ascii="Arial" w:cs="Arial" w:eastAsia="Arial" w:hAnsi="Arial"/>
                <w:sz w:val="13"/>
                <w:szCs w:val="13"/>
                <w:color w:val="auto"/>
              </w:rPr>
              <w:t>Mark W. Kowlzan</w:t>
            </w: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w w:val="89"/>
              </w:rPr>
              <w:t>2021</w:t>
            </w:r>
          </w:p>
        </w:tc>
        <w:tc>
          <w:tcPr>
            <w:tcW w:w="2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1,416,516</w:t>
            </w:r>
          </w:p>
        </w:tc>
        <w:tc>
          <w:tcPr>
            <w:tcW w:w="2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6,745,717</w:t>
            </w: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3,600,000</w:t>
            </w:r>
          </w:p>
        </w:tc>
        <w:tc>
          <w:tcPr>
            <w:tcW w:w="2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325,321</w:t>
            </w: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69,759</w:t>
            </w:r>
          </w:p>
        </w:tc>
        <w:tc>
          <w:tcPr>
            <w:tcW w:w="2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12,157,313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Chief Executive Officer</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w w:val="83"/>
              </w:rPr>
              <w:t>2020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1,302,438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5,575,067</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2,333,750</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1,164,693</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67,726</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10,443,674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w w:val="83"/>
              </w:rPr>
              <w:t>2019</w:t>
            </w: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1,264,500</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5,519,946</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1,867,000</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1,620,917</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65,754</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10,338,117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40" w:type="dxa"/>
            <w:vAlign w:val="bottom"/>
            <w:gridSpan w:val="2"/>
          </w:tcPr>
          <w:p>
            <w:pPr>
              <w:spacing w:after="0" w:line="128" w:lineRule="exact"/>
              <w:rPr>
                <w:sz w:val="20"/>
                <w:szCs w:val="20"/>
                <w:color w:val="auto"/>
              </w:rPr>
            </w:pPr>
            <w:r>
              <w:rPr>
                <w:rFonts w:ascii="Arial" w:cs="Arial" w:eastAsia="Arial" w:hAnsi="Arial"/>
                <w:sz w:val="14"/>
                <w:szCs w:val="14"/>
                <w:color w:val="auto"/>
              </w:rPr>
              <w:t>Thomas A. Hassfurther</w:t>
            </w:r>
          </w:p>
        </w:tc>
        <w:tc>
          <w:tcPr>
            <w:tcW w:w="220" w:type="dxa"/>
            <w:vAlign w:val="bottom"/>
          </w:tcPr>
          <w:p>
            <w:pPr>
              <w:spacing w:after="0"/>
              <w:rPr>
                <w:sz w:val="11"/>
                <w:szCs w:val="11"/>
                <w:color w:val="auto"/>
              </w:rPr>
            </w:pPr>
          </w:p>
        </w:tc>
        <w:tc>
          <w:tcPr>
            <w:tcW w:w="320" w:type="dxa"/>
            <w:vAlign w:val="bottom"/>
          </w:tcPr>
          <w:p>
            <w:pPr>
              <w:ind w:left="40"/>
              <w:spacing w:after="0" w:line="128" w:lineRule="exact"/>
              <w:rPr>
                <w:sz w:val="20"/>
                <w:szCs w:val="20"/>
                <w:color w:val="auto"/>
              </w:rPr>
            </w:pPr>
            <w:r>
              <w:rPr>
                <w:rFonts w:ascii="Arial" w:cs="Arial" w:eastAsia="Arial" w:hAnsi="Arial"/>
                <w:sz w:val="14"/>
                <w:szCs w:val="14"/>
                <w:color w:val="auto"/>
                <w:w w:val="83"/>
              </w:rPr>
              <w:t>2021</w:t>
            </w:r>
          </w:p>
        </w:tc>
        <w:tc>
          <w:tcPr>
            <w:tcW w:w="2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4"/>
                <w:szCs w:val="14"/>
                <w:color w:val="auto"/>
                <w:w w:val="96"/>
              </w:rPr>
              <w:t>1,058,784</w:t>
            </w:r>
          </w:p>
        </w:tc>
        <w:tc>
          <w:tcPr>
            <w:tcW w:w="2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w w:val="99"/>
              </w:rPr>
              <w:t>4,666,064</w:t>
            </w:r>
          </w:p>
        </w:tc>
        <w:tc>
          <w:tcPr>
            <w:tcW w:w="240" w:type="dxa"/>
            <w:vAlign w:val="bottom"/>
          </w:tcPr>
          <w:p>
            <w:pPr>
              <w:spacing w:after="0"/>
              <w:rPr>
                <w:sz w:val="11"/>
                <w:szCs w:val="11"/>
                <w:color w:val="auto"/>
              </w:rPr>
            </w:pPr>
          </w:p>
        </w:tc>
        <w:tc>
          <w:tcPr>
            <w:tcW w:w="800" w:type="dxa"/>
            <w:vAlign w:val="bottom"/>
          </w:tcPr>
          <w:p>
            <w:pPr>
              <w:jc w:val="right"/>
              <w:spacing w:after="0" w:line="128" w:lineRule="exact"/>
              <w:rPr>
                <w:sz w:val="20"/>
                <w:szCs w:val="20"/>
                <w:color w:val="auto"/>
              </w:rPr>
            </w:pPr>
            <w:r>
              <w:rPr>
                <w:rFonts w:ascii="Arial" w:cs="Arial" w:eastAsia="Arial" w:hAnsi="Arial"/>
                <w:sz w:val="14"/>
                <w:szCs w:val="14"/>
                <w:color w:val="auto"/>
              </w:rPr>
              <w:t>2,450,000</w:t>
            </w:r>
          </w:p>
        </w:tc>
        <w:tc>
          <w:tcPr>
            <w:tcW w:w="26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Arial" w:cs="Arial" w:eastAsia="Arial" w:hAnsi="Arial"/>
                <w:sz w:val="14"/>
                <w:szCs w:val="14"/>
                <w:color w:val="auto"/>
              </w:rPr>
              <w:t>234,415</w:t>
            </w:r>
          </w:p>
        </w:tc>
        <w:tc>
          <w:tcPr>
            <w:tcW w:w="240" w:type="dxa"/>
            <w:vAlign w:val="bottom"/>
          </w:tcPr>
          <w:p>
            <w:pPr>
              <w:spacing w:after="0"/>
              <w:rPr>
                <w:sz w:val="11"/>
                <w:szCs w:val="11"/>
                <w:color w:val="auto"/>
              </w:rPr>
            </w:pPr>
          </w:p>
        </w:tc>
        <w:tc>
          <w:tcPr>
            <w:tcW w:w="820" w:type="dxa"/>
            <w:vAlign w:val="bottom"/>
          </w:tcPr>
          <w:p>
            <w:pPr>
              <w:jc w:val="right"/>
              <w:spacing w:after="0" w:line="128" w:lineRule="exact"/>
              <w:rPr>
                <w:sz w:val="20"/>
                <w:szCs w:val="20"/>
                <w:color w:val="auto"/>
              </w:rPr>
            </w:pPr>
            <w:r>
              <w:rPr>
                <w:rFonts w:ascii="Arial" w:cs="Arial" w:eastAsia="Arial" w:hAnsi="Arial"/>
                <w:sz w:val="14"/>
                <w:szCs w:val="14"/>
                <w:color w:val="auto"/>
              </w:rPr>
              <w:t>140,181</w:t>
            </w:r>
          </w:p>
        </w:tc>
        <w:tc>
          <w:tcPr>
            <w:tcW w:w="26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4"/>
                <w:szCs w:val="14"/>
                <w:color w:val="auto"/>
              </w:rPr>
              <w:t>8,549,444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Executive Vice President—</w:t>
            </w:r>
          </w:p>
        </w:tc>
        <w:tc>
          <w:tcPr>
            <w:tcW w:w="540" w:type="dxa"/>
            <w:vAlign w:val="bottom"/>
            <w:gridSpan w:val="2"/>
          </w:tcPr>
          <w:p>
            <w:pPr>
              <w:ind w:left="260"/>
              <w:spacing w:after="0" w:line="147" w:lineRule="exact"/>
              <w:rPr>
                <w:sz w:val="20"/>
                <w:szCs w:val="20"/>
                <w:color w:val="auto"/>
              </w:rPr>
            </w:pPr>
            <w:r>
              <w:rPr>
                <w:rFonts w:ascii="Arial" w:cs="Arial" w:eastAsia="Arial" w:hAnsi="Arial"/>
                <w:sz w:val="14"/>
                <w:szCs w:val="14"/>
                <w:color w:val="auto"/>
                <w:w w:val="83"/>
              </w:rPr>
              <w:t>2020</w:t>
            </w:r>
          </w:p>
        </w:tc>
        <w:tc>
          <w:tcPr>
            <w:tcW w:w="26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w w:val="96"/>
              </w:rPr>
              <w:t>1,027,944</w:t>
            </w:r>
          </w:p>
        </w:tc>
        <w:tc>
          <w:tcPr>
            <w:tcW w:w="26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3,856,265</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1,571,250</w:t>
            </w:r>
          </w:p>
        </w:tc>
        <w:tc>
          <w:tcPr>
            <w:tcW w:w="26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1,261,705</w:t>
            </w:r>
          </w:p>
        </w:tc>
        <w:tc>
          <w:tcPr>
            <w:tcW w:w="24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100,412</w:t>
            </w:r>
          </w:p>
        </w:tc>
        <w:tc>
          <w:tcPr>
            <w:tcW w:w="26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7,817,576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40" w:type="dxa"/>
            <w:vAlign w:val="bottom"/>
            <w:gridSpan w:val="2"/>
          </w:tcPr>
          <w:p>
            <w:pPr>
              <w:ind w:left="120"/>
              <w:spacing w:after="0"/>
              <w:rPr>
                <w:sz w:val="20"/>
                <w:szCs w:val="20"/>
                <w:color w:val="auto"/>
              </w:rPr>
            </w:pPr>
            <w:r>
              <w:rPr>
                <w:rFonts w:ascii="Arial" w:cs="Arial" w:eastAsia="Arial" w:hAnsi="Arial"/>
                <w:sz w:val="14"/>
                <w:szCs w:val="14"/>
                <w:color w:val="auto"/>
              </w:rPr>
              <w:t>Corrugated Products</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w w:val="83"/>
              </w:rPr>
              <w:t>2019</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998,004</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3,818,149</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1,257,000</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1,866,044</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107,337</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8,046,535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28" w:lineRule="exact"/>
              <w:rPr>
                <w:sz w:val="20"/>
                <w:szCs w:val="20"/>
                <w:color w:val="auto"/>
              </w:rPr>
            </w:pPr>
            <w:r>
              <w:rPr>
                <w:rFonts w:ascii="Arial" w:cs="Arial" w:eastAsia="Arial" w:hAnsi="Arial"/>
                <w:sz w:val="14"/>
                <w:szCs w:val="14"/>
                <w:color w:val="auto"/>
              </w:rPr>
              <w:t>Robert P. Mundy</w:t>
            </w:r>
          </w:p>
        </w:tc>
        <w:tc>
          <w:tcPr>
            <w:tcW w:w="540" w:type="dxa"/>
            <w:vAlign w:val="bottom"/>
            <w:gridSpan w:val="2"/>
            <w:shd w:val="clear" w:color="auto" w:fill="CCEEFF"/>
          </w:tcPr>
          <w:p>
            <w:pPr>
              <w:ind w:left="260"/>
              <w:spacing w:after="0" w:line="128" w:lineRule="exact"/>
              <w:rPr>
                <w:sz w:val="20"/>
                <w:szCs w:val="20"/>
                <w:color w:val="auto"/>
              </w:rPr>
            </w:pPr>
            <w:r>
              <w:rPr>
                <w:rFonts w:ascii="Arial" w:cs="Arial" w:eastAsia="Arial" w:hAnsi="Arial"/>
                <w:sz w:val="14"/>
                <w:szCs w:val="14"/>
                <w:color w:val="auto"/>
                <w:w w:val="83"/>
              </w:rPr>
              <w:t>2021</w:t>
            </w: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717,174</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w w:val="99"/>
              </w:rPr>
              <w:t>1,770,763</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1,600,000</w:t>
            </w:r>
          </w:p>
        </w:tc>
        <w:tc>
          <w:tcPr>
            <w:tcW w:w="2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60"/>
              <w:spacing w:after="0" w:line="128"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95,293</w:t>
            </w: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4,183,231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Executive Vice President and Chief</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w w:val="83"/>
              </w:rPr>
              <w:t>2020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696,282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1,463,395</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1,048,750</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100,957</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3,309,384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Financial Officer</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w w:val="83"/>
              </w:rPr>
              <w:t>2019</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676,002</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1,448,925</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839,000</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95,952</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3,059,880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40" w:type="dxa"/>
            <w:vAlign w:val="bottom"/>
            <w:gridSpan w:val="2"/>
          </w:tcPr>
          <w:p>
            <w:pPr>
              <w:spacing w:after="0" w:line="128" w:lineRule="exact"/>
              <w:rPr>
                <w:sz w:val="20"/>
                <w:szCs w:val="20"/>
                <w:color w:val="auto"/>
              </w:rPr>
            </w:pPr>
            <w:r>
              <w:rPr>
                <w:rFonts w:ascii="Arial" w:cs="Arial" w:eastAsia="Arial" w:hAnsi="Arial"/>
                <w:sz w:val="14"/>
                <w:szCs w:val="14"/>
                <w:color w:val="auto"/>
              </w:rPr>
              <w:t>Charles J. Carter</w:t>
            </w:r>
          </w:p>
        </w:tc>
        <w:tc>
          <w:tcPr>
            <w:tcW w:w="220" w:type="dxa"/>
            <w:vAlign w:val="bottom"/>
          </w:tcPr>
          <w:p>
            <w:pPr>
              <w:spacing w:after="0"/>
              <w:rPr>
                <w:sz w:val="11"/>
                <w:szCs w:val="11"/>
                <w:color w:val="auto"/>
              </w:rPr>
            </w:pPr>
          </w:p>
        </w:tc>
        <w:tc>
          <w:tcPr>
            <w:tcW w:w="320" w:type="dxa"/>
            <w:vAlign w:val="bottom"/>
          </w:tcPr>
          <w:p>
            <w:pPr>
              <w:ind w:left="40"/>
              <w:spacing w:after="0" w:line="128" w:lineRule="exact"/>
              <w:rPr>
                <w:sz w:val="20"/>
                <w:szCs w:val="20"/>
                <w:color w:val="auto"/>
              </w:rPr>
            </w:pPr>
            <w:r>
              <w:rPr>
                <w:rFonts w:ascii="Arial" w:cs="Arial" w:eastAsia="Arial" w:hAnsi="Arial"/>
                <w:sz w:val="14"/>
                <w:szCs w:val="14"/>
                <w:color w:val="auto"/>
                <w:w w:val="83"/>
              </w:rPr>
              <w:t>2021</w:t>
            </w:r>
          </w:p>
        </w:tc>
        <w:tc>
          <w:tcPr>
            <w:tcW w:w="26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Arial" w:cs="Arial" w:eastAsia="Arial" w:hAnsi="Arial"/>
                <w:sz w:val="14"/>
                <w:szCs w:val="14"/>
                <w:color w:val="auto"/>
              </w:rPr>
              <w:t>670,494</w:t>
            </w:r>
          </w:p>
        </w:tc>
        <w:tc>
          <w:tcPr>
            <w:tcW w:w="2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w w:val="99"/>
              </w:rPr>
              <w:t>1,461,725</w:t>
            </w:r>
          </w:p>
        </w:tc>
        <w:tc>
          <w:tcPr>
            <w:tcW w:w="240" w:type="dxa"/>
            <w:vAlign w:val="bottom"/>
          </w:tcPr>
          <w:p>
            <w:pPr>
              <w:spacing w:after="0"/>
              <w:rPr>
                <w:sz w:val="11"/>
                <w:szCs w:val="11"/>
                <w:color w:val="auto"/>
              </w:rPr>
            </w:pPr>
          </w:p>
        </w:tc>
        <w:tc>
          <w:tcPr>
            <w:tcW w:w="800" w:type="dxa"/>
            <w:vAlign w:val="bottom"/>
          </w:tcPr>
          <w:p>
            <w:pPr>
              <w:jc w:val="right"/>
              <w:spacing w:after="0" w:line="128" w:lineRule="exact"/>
              <w:rPr>
                <w:sz w:val="20"/>
                <w:szCs w:val="20"/>
                <w:color w:val="auto"/>
              </w:rPr>
            </w:pPr>
            <w:r>
              <w:rPr>
                <w:rFonts w:ascii="Arial" w:cs="Arial" w:eastAsia="Arial" w:hAnsi="Arial"/>
                <w:sz w:val="14"/>
                <w:szCs w:val="14"/>
                <w:color w:val="auto"/>
              </w:rPr>
              <w:t>900,000</w:t>
            </w:r>
          </w:p>
        </w:tc>
        <w:tc>
          <w:tcPr>
            <w:tcW w:w="260" w:type="dxa"/>
            <w:vAlign w:val="bottom"/>
          </w:tcPr>
          <w:p>
            <w:pPr>
              <w:spacing w:after="0"/>
              <w:rPr>
                <w:sz w:val="11"/>
                <w:szCs w:val="11"/>
                <w:color w:val="auto"/>
              </w:rPr>
            </w:pPr>
          </w:p>
        </w:tc>
        <w:tc>
          <w:tcPr>
            <w:tcW w:w="1060" w:type="dxa"/>
            <w:vAlign w:val="bottom"/>
            <w:gridSpan w:val="2"/>
          </w:tcPr>
          <w:p>
            <w:pPr>
              <w:jc w:val="right"/>
              <w:ind w:right="260"/>
              <w:spacing w:after="0" w:line="128"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28" w:lineRule="exact"/>
              <w:rPr>
                <w:sz w:val="20"/>
                <w:szCs w:val="20"/>
                <w:color w:val="auto"/>
              </w:rPr>
            </w:pPr>
            <w:r>
              <w:rPr>
                <w:rFonts w:ascii="Arial" w:cs="Arial" w:eastAsia="Arial" w:hAnsi="Arial"/>
                <w:sz w:val="14"/>
                <w:szCs w:val="14"/>
                <w:color w:val="auto"/>
              </w:rPr>
              <w:t>90,266</w:t>
            </w:r>
          </w:p>
        </w:tc>
        <w:tc>
          <w:tcPr>
            <w:tcW w:w="260" w:type="dxa"/>
            <w:vAlign w:val="bottom"/>
          </w:tcPr>
          <w:p>
            <w:pPr>
              <w:spacing w:after="0"/>
              <w:rPr>
                <w:sz w:val="11"/>
                <w:szCs w:val="11"/>
                <w:color w:val="auto"/>
              </w:rPr>
            </w:pPr>
          </w:p>
        </w:tc>
        <w:tc>
          <w:tcPr>
            <w:tcW w:w="720" w:type="dxa"/>
            <w:vAlign w:val="bottom"/>
          </w:tcPr>
          <w:p>
            <w:pPr>
              <w:jc w:val="right"/>
              <w:spacing w:after="0" w:line="128" w:lineRule="exact"/>
              <w:rPr>
                <w:sz w:val="20"/>
                <w:szCs w:val="20"/>
                <w:color w:val="auto"/>
              </w:rPr>
            </w:pPr>
            <w:r>
              <w:rPr>
                <w:rFonts w:ascii="Arial" w:cs="Arial" w:eastAsia="Arial" w:hAnsi="Arial"/>
                <w:sz w:val="14"/>
                <w:szCs w:val="14"/>
                <w:color w:val="auto"/>
              </w:rPr>
              <w:t>3,122,485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Executive Vice President—</w:t>
            </w:r>
          </w:p>
        </w:tc>
        <w:tc>
          <w:tcPr>
            <w:tcW w:w="540" w:type="dxa"/>
            <w:vAlign w:val="bottom"/>
            <w:gridSpan w:val="2"/>
          </w:tcPr>
          <w:p>
            <w:pPr>
              <w:ind w:left="260"/>
              <w:spacing w:after="0" w:line="147" w:lineRule="exact"/>
              <w:rPr>
                <w:sz w:val="20"/>
                <w:szCs w:val="20"/>
                <w:color w:val="auto"/>
              </w:rPr>
            </w:pPr>
            <w:r>
              <w:rPr>
                <w:rFonts w:ascii="Arial" w:cs="Arial" w:eastAsia="Arial" w:hAnsi="Arial"/>
                <w:sz w:val="14"/>
                <w:szCs w:val="14"/>
                <w:color w:val="auto"/>
                <w:w w:val="83"/>
              </w:rPr>
              <w:t>2020</w:t>
            </w:r>
          </w:p>
        </w:tc>
        <w:tc>
          <w:tcPr>
            <w:tcW w:w="26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650,964</w:t>
            </w:r>
          </w:p>
        </w:tc>
        <w:tc>
          <w:tcPr>
            <w:tcW w:w="26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4"/>
                <w:szCs w:val="14"/>
                <w:color w:val="auto"/>
                <w:w w:val="99"/>
              </w:rPr>
              <w:t>1,207,988</w:t>
            </w:r>
          </w:p>
        </w:tc>
        <w:tc>
          <w:tcPr>
            <w:tcW w:w="240" w:type="dxa"/>
            <w:vAlign w:val="bottom"/>
          </w:tcPr>
          <w:p>
            <w:pPr>
              <w:spacing w:after="0"/>
              <w:rPr>
                <w:sz w:val="12"/>
                <w:szCs w:val="12"/>
                <w:color w:val="auto"/>
              </w:rPr>
            </w:pP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556,250</w:t>
            </w:r>
          </w:p>
        </w:tc>
        <w:tc>
          <w:tcPr>
            <w:tcW w:w="260" w:type="dxa"/>
            <w:vAlign w:val="bottom"/>
          </w:tcPr>
          <w:p>
            <w:pPr>
              <w:spacing w:after="0"/>
              <w:rPr>
                <w:sz w:val="12"/>
                <w:szCs w:val="12"/>
                <w:color w:val="auto"/>
              </w:rPr>
            </w:pPr>
          </w:p>
        </w:tc>
        <w:tc>
          <w:tcPr>
            <w:tcW w:w="106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98,272</w:t>
            </w:r>
          </w:p>
        </w:tc>
        <w:tc>
          <w:tcPr>
            <w:tcW w:w="26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2,513,474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340" w:type="dxa"/>
            <w:vAlign w:val="bottom"/>
            <w:gridSpan w:val="2"/>
          </w:tcPr>
          <w:p>
            <w:pPr>
              <w:ind w:left="120"/>
              <w:spacing w:after="0"/>
              <w:rPr>
                <w:sz w:val="20"/>
                <w:szCs w:val="20"/>
                <w:color w:val="auto"/>
              </w:rPr>
            </w:pPr>
            <w:r>
              <w:rPr>
                <w:rFonts w:ascii="Arial" w:cs="Arial" w:eastAsia="Arial" w:hAnsi="Arial"/>
                <w:sz w:val="14"/>
                <w:szCs w:val="14"/>
                <w:color w:val="auto"/>
              </w:rPr>
              <w:t>Mill Operations</w:t>
            </w:r>
          </w:p>
        </w:tc>
        <w:tc>
          <w:tcPr>
            <w:tcW w:w="540" w:type="dxa"/>
            <w:vAlign w:val="bottom"/>
            <w:gridSpan w:val="2"/>
          </w:tcPr>
          <w:p>
            <w:pPr>
              <w:ind w:left="260"/>
              <w:spacing w:after="0"/>
              <w:rPr>
                <w:sz w:val="20"/>
                <w:szCs w:val="20"/>
                <w:color w:val="auto"/>
              </w:rPr>
            </w:pPr>
            <w:r>
              <w:rPr>
                <w:rFonts w:ascii="Arial" w:cs="Arial" w:eastAsia="Arial" w:hAnsi="Arial"/>
                <w:sz w:val="14"/>
                <w:szCs w:val="14"/>
                <w:color w:val="auto"/>
                <w:w w:val="83"/>
              </w:rPr>
              <w:t>2019</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632,004</w:t>
            </w: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1,196,153</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445,000</w:t>
            </w:r>
          </w:p>
        </w:tc>
        <w:tc>
          <w:tcPr>
            <w:tcW w:w="26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92,864</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2,366,022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28" w:lineRule="exact"/>
              <w:rPr>
                <w:sz w:val="20"/>
                <w:szCs w:val="20"/>
                <w:color w:val="auto"/>
              </w:rPr>
            </w:pPr>
            <w:r>
              <w:rPr>
                <w:rFonts w:ascii="Arial" w:cs="Arial" w:eastAsia="Arial" w:hAnsi="Arial"/>
                <w:sz w:val="14"/>
                <w:szCs w:val="14"/>
                <w:color w:val="auto"/>
              </w:rPr>
              <w:t>Donald R. Shirley</w:t>
            </w:r>
          </w:p>
        </w:tc>
        <w:tc>
          <w:tcPr>
            <w:tcW w:w="540" w:type="dxa"/>
            <w:vAlign w:val="bottom"/>
            <w:gridSpan w:val="2"/>
            <w:shd w:val="clear" w:color="auto" w:fill="CCEEFF"/>
          </w:tcPr>
          <w:p>
            <w:pPr>
              <w:ind w:left="260"/>
              <w:spacing w:after="0" w:line="128" w:lineRule="exact"/>
              <w:rPr>
                <w:sz w:val="20"/>
                <w:szCs w:val="20"/>
                <w:color w:val="auto"/>
              </w:rPr>
            </w:pPr>
            <w:r>
              <w:rPr>
                <w:rFonts w:ascii="Arial" w:cs="Arial" w:eastAsia="Arial" w:hAnsi="Arial"/>
                <w:sz w:val="14"/>
                <w:szCs w:val="14"/>
                <w:color w:val="auto"/>
                <w:w w:val="83"/>
              </w:rPr>
              <w:t>2021</w:t>
            </w: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583,500</w:t>
            </w: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w w:val="99"/>
              </w:rPr>
              <w:t>1,136,551</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855,000</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159,503</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30,342</w:t>
            </w: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2,764,897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4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Senior Vice President, Corporate</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w w:val="83"/>
              </w:rPr>
              <w:t>2020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566,502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939,321</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513,750</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430,427</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29,458</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2,479,458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Engineering and Process Technology</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w w:val="83"/>
              </w:rPr>
              <w:t>2019</w:t>
            </w: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499,189</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929,956</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411,000</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388,355</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25,958</w:t>
            </w: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2,254,459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531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54" w:lineRule="exact"/>
        <w:rPr>
          <w:sz w:val="20"/>
          <w:szCs w:val="20"/>
          <w:color w:val="auto"/>
        </w:rPr>
      </w:pPr>
    </w:p>
    <w:p>
      <w:pPr>
        <w:ind w:left="440" w:right="280" w:hanging="433"/>
        <w:spacing w:after="0" w:line="330"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values shown for stock awards reflect the grant date fair value of the award determined in accordance with FASB ASC Topic 718, as more fully described in Note 15 to the consolidated financial statements included in our annual report accompanying this proxy statement.</w:t>
      </w:r>
    </w:p>
    <w:p>
      <w:pPr>
        <w:spacing w:after="0" w:line="27"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grant date fair value of restricted stock awarded is the closing price of PCA common stock on the date of the award.</w:t>
      </w:r>
    </w:p>
    <w:p>
      <w:pPr>
        <w:spacing w:after="0" w:line="112" w:lineRule="exact"/>
        <w:rPr>
          <w:rFonts w:ascii="Arial" w:cs="Arial" w:eastAsia="Arial" w:hAnsi="Arial"/>
          <w:sz w:val="16"/>
          <w:szCs w:val="16"/>
          <w:color w:val="auto"/>
        </w:rPr>
      </w:pPr>
    </w:p>
    <w:p>
      <w:pPr>
        <w:ind w:left="440" w:right="60"/>
        <w:spacing w:after="0" w:line="252" w:lineRule="auto"/>
        <w:rPr>
          <w:rFonts w:ascii="Arial" w:cs="Arial" w:eastAsia="Arial" w:hAnsi="Arial"/>
          <w:sz w:val="16"/>
          <w:szCs w:val="16"/>
          <w:color w:val="auto"/>
        </w:rPr>
      </w:pPr>
      <w:r>
        <w:rPr>
          <w:rFonts w:ascii="Arial" w:cs="Arial" w:eastAsia="Arial" w:hAnsi="Arial"/>
          <w:sz w:val="18"/>
          <w:szCs w:val="18"/>
          <w:color w:val="auto"/>
        </w:rPr>
        <w:t>The grant date fair values of the ROIC Units awarded in 2021 (as described in “Compensation Discussion and Analysis—Long-Term Equity Awards—Equity Award Structure”), based upon the probable outcome of the performance conditions, which was 100%, are $2,248,547, $1,555,340, $590,247, $487,287, and $378,853 for Mr. Kowlzan, Mr. Hassfurther, Mr. Mundy, Mr. Carter and Mr. Shirley, respectively. The grant date fair values of the awards at a maximum payout of 120% are $2,698,256, $1,866,408, $708,296, $584,745, and $454,624 for Mr. Kowlzan, Mr. Hassfurther, Mr. Mundy, Mr. Carter and Mr. Shirley, respectively.</w:t>
      </w:r>
    </w:p>
    <w:p>
      <w:pPr>
        <w:spacing w:after="0" w:line="86" w:lineRule="exact"/>
        <w:rPr>
          <w:rFonts w:ascii="Arial" w:cs="Arial" w:eastAsia="Arial" w:hAnsi="Arial"/>
          <w:sz w:val="16"/>
          <w:szCs w:val="16"/>
          <w:color w:val="auto"/>
        </w:rPr>
      </w:pPr>
    </w:p>
    <w:p>
      <w:pPr>
        <w:ind w:left="440" w:right="540"/>
        <w:spacing w:after="0" w:line="267" w:lineRule="auto"/>
        <w:rPr>
          <w:rFonts w:ascii="Arial" w:cs="Arial" w:eastAsia="Arial" w:hAnsi="Arial"/>
          <w:sz w:val="16"/>
          <w:szCs w:val="16"/>
          <w:color w:val="auto"/>
        </w:rPr>
      </w:pPr>
      <w:r>
        <w:rPr>
          <w:rFonts w:ascii="Arial" w:cs="Arial" w:eastAsia="Arial" w:hAnsi="Arial"/>
          <w:sz w:val="18"/>
          <w:szCs w:val="18"/>
          <w:color w:val="auto"/>
        </w:rPr>
        <w:t>The grant date fair values of the TSR Units awarded in 2021 (as described in “Compensation Discussion and Analysis—Long-Term Equity Awards—Equity Award Structure”) as determined based upon a Monte Carlo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500" w:top="268" w:right="519" w:bottom="1440" w:gutter="0" w:footer="0" w:header="0"/>
        </w:sectPr>
      </w:pPr>
    </w:p>
    <w:bookmarkStart w:id="32" w:name="page33"/>
    <w:bookmarkEnd w:id="32"/>
    <w:p>
      <w:pPr>
        <w:ind w:left="43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simulation as prescribed by FASB ASC Topic 718 are $2,248,624, $1,555,384, $590,269, $487,150, and $378,845 for Mr. Kowlzan,</w:t>
      </w:r>
    </w:p>
    <w:p>
      <w:pPr>
        <w:spacing w:after="0" w:line="29" w:lineRule="exact"/>
        <w:rPr>
          <w:sz w:val="20"/>
          <w:szCs w:val="20"/>
          <w:color w:val="auto"/>
        </w:rPr>
      </w:pPr>
    </w:p>
    <w:p>
      <w:pPr>
        <w:ind w:left="433" w:right="60"/>
        <w:spacing w:after="0" w:line="250" w:lineRule="auto"/>
        <w:rPr>
          <w:sz w:val="20"/>
          <w:szCs w:val="20"/>
          <w:color w:val="auto"/>
        </w:rPr>
      </w:pPr>
      <w:r>
        <w:rPr>
          <w:rFonts w:ascii="Arial" w:cs="Arial" w:eastAsia="Arial" w:hAnsi="Arial"/>
          <w:sz w:val="18"/>
          <w:szCs w:val="18"/>
          <w:color w:val="auto"/>
        </w:rPr>
        <w:t>Mr. Hassfurther, Mr. Mundy, Mr. Carter and Mr. Shirley, respectively. The grant date fair values of the awards at a maximum payout of 200% are $4,497,249, $3,110,767, $1,180,539, $974,300 and $757,690 for Mr. Kowlzan, Mr. Hassfurther, Mr. Mundy, Mr. Carter and Mr. Shirley respectively.</w:t>
      </w:r>
    </w:p>
    <w:p>
      <w:pPr>
        <w:spacing w:after="0" w:line="222" w:lineRule="exact"/>
        <w:rPr>
          <w:sz w:val="20"/>
          <w:szCs w:val="20"/>
          <w:color w:val="auto"/>
        </w:rPr>
      </w:pPr>
    </w:p>
    <w:p>
      <w:pPr>
        <w:ind w:left="433" w:right="140" w:hanging="433"/>
        <w:spacing w:after="0" w:line="330" w:lineRule="auto"/>
        <w:tabs>
          <w:tab w:leader="none" w:pos="433"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Non-equity incentive plan awards for 2021 to the named executive officers were paid out at maximum levels and averaged 156% of the target awards under our Executive Incentive Compensation Plan. The 2021 target awards and the actual awards are summarized in the following table.</w:t>
      </w:r>
    </w:p>
    <w:p>
      <w:pPr>
        <w:spacing w:after="0" w:line="136" w:lineRule="exact"/>
        <w:rPr>
          <w:sz w:val="20"/>
          <w:szCs w:val="20"/>
          <w:color w:val="auto"/>
        </w:rPr>
      </w:pPr>
    </w:p>
    <w:tbl>
      <w:tblPr>
        <w:tblLayout w:type="fixed"/>
        <w:tblInd w:w="43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jc w:val="right"/>
              <w:ind w:right="125"/>
              <w:spacing w:after="0"/>
              <w:rPr>
                <w:sz w:val="20"/>
                <w:szCs w:val="20"/>
                <w:color w:val="auto"/>
              </w:rPr>
            </w:pPr>
            <w:r>
              <w:rPr>
                <w:rFonts w:ascii="Arial" w:cs="Arial" w:eastAsia="Arial" w:hAnsi="Arial"/>
                <w:sz w:val="14"/>
                <w:szCs w:val="14"/>
                <w:b w:val="1"/>
                <w:bCs w:val="1"/>
                <w:color w:val="auto"/>
              </w:rPr>
              <w:t>Target</w:t>
            </w:r>
          </w:p>
        </w:tc>
        <w:tc>
          <w:tcPr>
            <w:tcW w:w="60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Arial" w:cs="Arial" w:eastAsia="Arial" w:hAnsi="Arial"/>
                <w:sz w:val="14"/>
                <w:szCs w:val="14"/>
                <w:b w:val="1"/>
                <w:bCs w:val="1"/>
                <w:color w:val="auto"/>
              </w:rPr>
              <w:t>Actual</w:t>
            </w:r>
          </w:p>
        </w:tc>
        <w:tc>
          <w:tcPr>
            <w:tcW w:w="62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Target vs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jc w:val="right"/>
              <w:ind w:right="125"/>
              <w:spacing w:after="0"/>
              <w:rPr>
                <w:sz w:val="20"/>
                <w:szCs w:val="20"/>
                <w:color w:val="auto"/>
              </w:rPr>
            </w:pPr>
            <w:r>
              <w:rPr>
                <w:rFonts w:ascii="Arial" w:cs="Arial" w:eastAsia="Arial" w:hAnsi="Arial"/>
                <w:sz w:val="14"/>
                <w:szCs w:val="14"/>
                <w:b w:val="1"/>
                <w:bCs w:val="1"/>
                <w:color w:val="auto"/>
              </w:rPr>
              <w:t>Award</w:t>
            </w:r>
          </w:p>
        </w:tc>
        <w:tc>
          <w:tcPr>
            <w:tcW w:w="60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Arial" w:cs="Arial" w:eastAsia="Arial" w:hAnsi="Arial"/>
                <w:sz w:val="14"/>
                <w:szCs w:val="14"/>
                <w:b w:val="1"/>
                <w:bCs w:val="1"/>
                <w:color w:val="auto"/>
              </w:rPr>
              <w:t>Award</w:t>
            </w:r>
          </w:p>
        </w:tc>
        <w:tc>
          <w:tcPr>
            <w:tcW w:w="1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Actual Percent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Mark W. Kowlzan</w:t>
            </w:r>
          </w:p>
        </w:tc>
        <w:tc>
          <w:tcPr>
            <w:tcW w:w="22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840" w:type="dxa"/>
            <w:vAlign w:val="bottom"/>
            <w:vMerge w:val="continue"/>
            <w:shd w:val="clear" w:color="auto" w:fill="CCEEFF"/>
          </w:tcPr>
          <w:p>
            <w:pPr>
              <w:spacing w:after="0"/>
              <w:rPr>
                <w:sz w:val="16"/>
                <w:szCs w:val="16"/>
                <w:color w:val="auto"/>
              </w:rPr>
            </w:pPr>
          </w:p>
        </w:tc>
        <w:tc>
          <w:tcPr>
            <w:tcW w:w="2280" w:type="dxa"/>
            <w:vAlign w:val="bottom"/>
            <w:vMerge w:val="continue"/>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6"/>
              </w:rPr>
              <w:t>$2,333,750</w:t>
            </w:r>
          </w:p>
        </w:tc>
        <w:tc>
          <w:tcPr>
            <w:tcW w:w="600" w:type="dxa"/>
            <w:vAlign w:val="bottom"/>
            <w:vMerge w:val="continue"/>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9"/>
              </w:rPr>
              <w:t>$3,600,000</w:t>
            </w:r>
          </w:p>
        </w:tc>
        <w:tc>
          <w:tcPr>
            <w:tcW w:w="620" w:type="dxa"/>
            <w:vAlign w:val="bottom"/>
            <w:vMerge w:val="continue"/>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Thomas A. Hassfurther</w:t>
            </w:r>
          </w:p>
        </w:tc>
        <w:tc>
          <w:tcPr>
            <w:tcW w:w="3060" w:type="dxa"/>
            <w:vAlign w:val="bottom"/>
            <w:gridSpan w:val="2"/>
          </w:tcPr>
          <w:p>
            <w:pPr>
              <w:jc w:val="right"/>
              <w:spacing w:after="0"/>
              <w:rPr>
                <w:sz w:val="20"/>
                <w:szCs w:val="20"/>
                <w:color w:val="auto"/>
              </w:rPr>
            </w:pPr>
            <w:r>
              <w:rPr>
                <w:rFonts w:ascii="Arial" w:cs="Arial" w:eastAsia="Arial" w:hAnsi="Arial"/>
                <w:sz w:val="17"/>
                <w:szCs w:val="17"/>
                <w:color w:val="auto"/>
              </w:rPr>
              <w:t>1,571,250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2,450,000</w:t>
            </w:r>
          </w:p>
        </w:tc>
        <w:tc>
          <w:tcPr>
            <w:tcW w:w="1700" w:type="dxa"/>
            <w:vAlign w:val="bottom"/>
            <w:gridSpan w:val="3"/>
          </w:tcPr>
          <w:p>
            <w:pPr>
              <w:jc w:val="right"/>
              <w:ind w:right="4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Robert P. Mundy</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1,048,750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1,600,000</w:t>
            </w: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Charles J. Carter</w:t>
            </w:r>
          </w:p>
        </w:tc>
        <w:tc>
          <w:tcPr>
            <w:tcW w:w="3060" w:type="dxa"/>
            <w:vAlign w:val="bottom"/>
            <w:gridSpan w:val="2"/>
          </w:tcPr>
          <w:p>
            <w:pPr>
              <w:jc w:val="right"/>
              <w:spacing w:after="0"/>
              <w:rPr>
                <w:sz w:val="20"/>
                <w:szCs w:val="20"/>
                <w:color w:val="auto"/>
              </w:rPr>
            </w:pPr>
            <w:r>
              <w:rPr>
                <w:rFonts w:ascii="Arial" w:cs="Arial" w:eastAsia="Arial" w:hAnsi="Arial"/>
                <w:sz w:val="17"/>
                <w:szCs w:val="17"/>
                <w:color w:val="auto"/>
              </w:rPr>
              <w:t>556,250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900,000</w:t>
            </w:r>
          </w:p>
        </w:tc>
        <w:tc>
          <w:tcPr>
            <w:tcW w:w="1700" w:type="dxa"/>
            <w:vAlign w:val="bottom"/>
            <w:gridSpan w:val="3"/>
          </w:tcPr>
          <w:p>
            <w:pPr>
              <w:jc w:val="right"/>
              <w:ind w:right="40"/>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Donald R. Shirley</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513,750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855,000</w:t>
            </w: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Total</w:t>
            </w:r>
          </w:p>
        </w:tc>
        <w:tc>
          <w:tcPr>
            <w:tcW w:w="3060" w:type="dxa"/>
            <w:vAlign w:val="bottom"/>
            <w:gridSpan w:val="2"/>
          </w:tcPr>
          <w:p>
            <w:pPr>
              <w:jc w:val="right"/>
              <w:spacing w:after="0"/>
              <w:rPr>
                <w:sz w:val="20"/>
                <w:szCs w:val="20"/>
                <w:color w:val="auto"/>
              </w:rPr>
            </w:pPr>
            <w:r>
              <w:rPr>
                <w:rFonts w:ascii="Arial" w:cs="Arial" w:eastAsia="Arial" w:hAnsi="Arial"/>
                <w:sz w:val="17"/>
                <w:szCs w:val="17"/>
                <w:color w:val="auto"/>
              </w:rPr>
              <w:t>6,023,750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9,405,000</w:t>
            </w:r>
          </w:p>
        </w:tc>
        <w:tc>
          <w:tcPr>
            <w:tcW w:w="1700" w:type="dxa"/>
            <w:vAlign w:val="bottom"/>
            <w:gridSpan w:val="3"/>
          </w:tcPr>
          <w:p>
            <w:pPr>
              <w:jc w:val="right"/>
              <w:ind w:right="4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33" w:right="100" w:hanging="433"/>
        <w:spacing w:after="0" w:line="267" w:lineRule="auto"/>
        <w:tabs>
          <w:tab w:leader="none" w:pos="4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further information regarding our pension plans and benefits, please see “Pension Benefits as of December 31, 2021” below. Mr. Mundy and Mr. Carter do not participate in our defined benefit pension plans.</w:t>
      </w:r>
    </w:p>
    <w:p>
      <w:pPr>
        <w:spacing w:after="0" w:line="72" w:lineRule="exact"/>
        <w:rPr>
          <w:rFonts w:ascii="Arial" w:cs="Arial" w:eastAsia="Arial" w:hAnsi="Arial"/>
          <w:sz w:val="18"/>
          <w:szCs w:val="18"/>
          <w:color w:val="auto"/>
        </w:rPr>
      </w:pPr>
    </w:p>
    <w:p>
      <w:pPr>
        <w:ind w:left="433"/>
        <w:spacing w:after="0"/>
        <w:rPr>
          <w:rFonts w:ascii="Arial" w:cs="Arial" w:eastAsia="Arial" w:hAnsi="Arial"/>
          <w:sz w:val="18"/>
          <w:szCs w:val="18"/>
          <w:color w:val="auto"/>
        </w:rPr>
      </w:pPr>
      <w:r>
        <w:rPr>
          <w:rFonts w:ascii="Arial" w:cs="Arial" w:eastAsia="Arial" w:hAnsi="Arial"/>
          <w:sz w:val="17"/>
          <w:szCs w:val="17"/>
          <w:color w:val="auto"/>
        </w:rPr>
        <w:t>2021 amounts include the following for Mr. Kowlzan, Mr. Hassfurther and Mr. Shirley: (a) the changes in value of the PCA Pension Plan of</w:t>
      </w:r>
    </w:p>
    <w:p>
      <w:pPr>
        <w:spacing w:after="0" w:line="28" w:lineRule="exact"/>
        <w:rPr>
          <w:rFonts w:ascii="Arial" w:cs="Arial" w:eastAsia="Arial" w:hAnsi="Arial"/>
          <w:sz w:val="18"/>
          <w:szCs w:val="18"/>
          <w:color w:val="auto"/>
        </w:rPr>
      </w:pPr>
    </w:p>
    <w:p>
      <w:pPr>
        <w:ind w:left="433" w:right="220"/>
        <w:spacing w:after="0" w:line="254" w:lineRule="auto"/>
        <w:rPr>
          <w:rFonts w:ascii="Arial" w:cs="Arial" w:eastAsia="Arial" w:hAnsi="Arial"/>
          <w:sz w:val="18"/>
          <w:szCs w:val="18"/>
          <w:color w:val="auto"/>
        </w:rPr>
      </w:pPr>
      <w:r>
        <w:rPr>
          <w:rFonts w:ascii="Arial" w:cs="Arial" w:eastAsia="Arial" w:hAnsi="Arial"/>
          <w:sz w:val="18"/>
          <w:szCs w:val="18"/>
          <w:color w:val="auto"/>
        </w:rPr>
        <w:t>$5,597, $29,495 and $24,772 respectively; and (b) the changes in value of the Supplemental Executive Retirement Plan of $319,725, $263,910 and $134,730, respectively.</w:t>
      </w:r>
    </w:p>
    <w:p>
      <w:pPr>
        <w:spacing w:after="0" w:line="83" w:lineRule="exact"/>
        <w:rPr>
          <w:rFonts w:ascii="Arial" w:cs="Arial" w:eastAsia="Arial" w:hAnsi="Arial"/>
          <w:sz w:val="18"/>
          <w:szCs w:val="18"/>
          <w:color w:val="auto"/>
        </w:rPr>
      </w:pPr>
    </w:p>
    <w:p>
      <w:pPr>
        <w:ind w:left="433" w:right="440"/>
        <w:spacing w:after="0" w:line="257" w:lineRule="auto"/>
        <w:rPr>
          <w:rFonts w:ascii="Arial" w:cs="Arial" w:eastAsia="Arial" w:hAnsi="Arial"/>
          <w:sz w:val="18"/>
          <w:szCs w:val="18"/>
          <w:color w:val="auto"/>
        </w:rPr>
      </w:pPr>
      <w:r>
        <w:rPr>
          <w:rFonts w:ascii="Arial" w:cs="Arial" w:eastAsia="Arial" w:hAnsi="Arial"/>
          <w:sz w:val="18"/>
          <w:szCs w:val="18"/>
          <w:color w:val="auto"/>
        </w:rPr>
        <w:t>2020 amounts include the following for Mr. Kowlzan, Mr. Hassfurther and Mr. Shirley: (a) the changes in value of the PCA Pension Plan of $112,579, $53,377 and $175,947, respectively; and (b) the changes in value of the Supplemental Executive Retirement Plan of $1,052,114, $1,208,329 and $254,480, respectively.</w:t>
      </w:r>
    </w:p>
    <w:p>
      <w:pPr>
        <w:spacing w:after="0" w:line="81" w:lineRule="exact"/>
        <w:rPr>
          <w:rFonts w:ascii="Arial" w:cs="Arial" w:eastAsia="Arial" w:hAnsi="Arial"/>
          <w:sz w:val="18"/>
          <w:szCs w:val="18"/>
          <w:color w:val="auto"/>
        </w:rPr>
      </w:pPr>
    </w:p>
    <w:p>
      <w:pPr>
        <w:ind w:left="433" w:right="440"/>
        <w:spacing w:after="0" w:line="257" w:lineRule="auto"/>
        <w:rPr>
          <w:rFonts w:ascii="Arial" w:cs="Arial" w:eastAsia="Arial" w:hAnsi="Arial"/>
          <w:sz w:val="18"/>
          <w:szCs w:val="18"/>
          <w:color w:val="auto"/>
        </w:rPr>
      </w:pPr>
      <w:r>
        <w:rPr>
          <w:rFonts w:ascii="Arial" w:cs="Arial" w:eastAsia="Arial" w:hAnsi="Arial"/>
          <w:sz w:val="18"/>
          <w:szCs w:val="18"/>
          <w:color w:val="auto"/>
        </w:rPr>
        <w:t>2019 amounts include the following for Mr. Kowlzan, Mr. Hassfurther and Mr. Shirley: (a) the changes in value of the PCA Pension Plan of $137,097, $79,554 and $180,536 respectively; and (b) the changes in value of the Supplemental Executive Retirement Plan of $1,483,821, $1,786,491 and $207,819, respectively.</w:t>
      </w:r>
    </w:p>
    <w:p>
      <w:pPr>
        <w:spacing w:after="0" w:line="94" w:lineRule="exact"/>
        <w:rPr>
          <w:rFonts w:ascii="Arial" w:cs="Arial" w:eastAsia="Arial" w:hAnsi="Arial"/>
          <w:sz w:val="18"/>
          <w:szCs w:val="18"/>
          <w:color w:val="auto"/>
        </w:rPr>
      </w:pPr>
    </w:p>
    <w:p>
      <w:pPr>
        <w:ind w:left="433" w:hanging="433"/>
        <w:spacing w:after="0"/>
        <w:tabs>
          <w:tab w:leader="none" w:pos="4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Other Compensation” for 2021 is broken down as follows:</w:t>
      </w:r>
    </w:p>
    <w:p>
      <w:pPr>
        <w:spacing w:after="0" w:line="221" w:lineRule="exact"/>
        <w:rPr>
          <w:sz w:val="20"/>
          <w:szCs w:val="20"/>
          <w:color w:val="auto"/>
        </w:rPr>
      </w:pPr>
    </w:p>
    <w:tbl>
      <w:tblPr>
        <w:tblLayout w:type="fixed"/>
        <w:tblInd w:w="43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29"/>
              <w:spacing w:after="0"/>
              <w:rPr>
                <w:sz w:val="20"/>
                <w:szCs w:val="20"/>
                <w:color w:val="auto"/>
              </w:rPr>
            </w:pPr>
            <w:r>
              <w:rPr>
                <w:rFonts w:ascii="Arial" w:cs="Arial" w:eastAsia="Arial" w:hAnsi="Arial"/>
                <w:sz w:val="14"/>
                <w:szCs w:val="14"/>
                <w:b w:val="1"/>
                <w:bCs w:val="1"/>
                <w:color w:val="auto"/>
                <w:w w:val="93"/>
              </w:rPr>
              <w:t>Company</w:t>
            </w:r>
          </w:p>
        </w:tc>
        <w:tc>
          <w:tcPr>
            <w:tcW w:w="7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Supplemental</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3"/>
              </w:rPr>
              <w:t>Company</w:t>
            </w:r>
          </w:p>
        </w:tc>
        <w:tc>
          <w:tcPr>
            <w:tcW w:w="1540" w:type="dxa"/>
            <w:vAlign w:val="bottom"/>
            <w:gridSpan w:val="3"/>
          </w:tcPr>
          <w:p>
            <w:pPr>
              <w:jc w:val="center"/>
              <w:ind w:left="669"/>
              <w:spacing w:after="0" w:line="147" w:lineRule="exact"/>
              <w:rPr>
                <w:sz w:val="20"/>
                <w:szCs w:val="20"/>
                <w:color w:val="auto"/>
              </w:rPr>
            </w:pPr>
            <w:r>
              <w:rPr>
                <w:rFonts w:ascii="Arial" w:cs="Arial" w:eastAsia="Arial" w:hAnsi="Arial"/>
                <w:sz w:val="14"/>
                <w:szCs w:val="14"/>
                <w:b w:val="1"/>
                <w:bCs w:val="1"/>
                <w:color w:val="auto"/>
                <w:w w:val="95"/>
              </w:rPr>
              <w:t>Contribution</w:t>
            </w:r>
          </w:p>
        </w:tc>
        <w:tc>
          <w:tcPr>
            <w:tcW w:w="7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line="147" w:lineRule="exact"/>
              <w:rPr>
                <w:sz w:val="20"/>
                <w:szCs w:val="20"/>
                <w:color w:val="auto"/>
              </w:rPr>
            </w:pPr>
            <w:r>
              <w:rPr>
                <w:rFonts w:ascii="Arial" w:cs="Arial" w:eastAsia="Arial" w:hAnsi="Arial"/>
                <w:sz w:val="14"/>
                <w:szCs w:val="14"/>
                <w:b w:val="1"/>
                <w:bCs w:val="1"/>
                <w:color w:val="auto"/>
                <w:w w:val="93"/>
              </w:rPr>
              <w:t>to Non-</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9"/>
              <w:spacing w:after="0" w:line="147" w:lineRule="exact"/>
              <w:rPr>
                <w:sz w:val="20"/>
                <w:szCs w:val="20"/>
                <w:color w:val="auto"/>
              </w:rPr>
            </w:pPr>
            <w:r>
              <w:rPr>
                <w:rFonts w:ascii="Arial" w:cs="Arial" w:eastAsia="Arial" w:hAnsi="Arial"/>
                <w:sz w:val="14"/>
                <w:szCs w:val="14"/>
                <w:b w:val="1"/>
                <w:bCs w:val="1"/>
                <w:color w:val="auto"/>
                <w:w w:val="91"/>
              </w:rPr>
              <w:t>Taxable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6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Contributions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9"/>
              <w:spacing w:after="0" w:line="147" w:lineRule="exact"/>
              <w:rPr>
                <w:sz w:val="20"/>
                <w:szCs w:val="20"/>
                <w:color w:val="auto"/>
              </w:rPr>
            </w:pPr>
            <w:r>
              <w:rPr>
                <w:rFonts w:ascii="Arial" w:cs="Arial" w:eastAsia="Arial" w:hAnsi="Arial"/>
                <w:sz w:val="14"/>
                <w:szCs w:val="14"/>
                <w:b w:val="1"/>
                <w:bCs w:val="1"/>
                <w:color w:val="auto"/>
                <w:w w:val="93"/>
              </w:rPr>
              <w:t>Qualified</w:t>
            </w:r>
          </w:p>
        </w:tc>
        <w:tc>
          <w:tcPr>
            <w:tcW w:w="1640" w:type="dxa"/>
            <w:vAlign w:val="bottom"/>
            <w:gridSpan w:val="3"/>
          </w:tcPr>
          <w:p>
            <w:pPr>
              <w:jc w:val="right"/>
              <w:spacing w:after="0" w:line="147" w:lineRule="exact"/>
              <w:rPr>
                <w:sz w:val="20"/>
                <w:szCs w:val="20"/>
                <w:color w:val="auto"/>
              </w:rPr>
            </w:pPr>
            <w:r>
              <w:rPr>
                <w:rFonts w:ascii="Arial" w:cs="Arial" w:eastAsia="Arial" w:hAnsi="Arial"/>
                <w:sz w:val="14"/>
                <w:szCs w:val="14"/>
                <w:b w:val="1"/>
                <w:bCs w:val="1"/>
                <w:color w:val="auto"/>
              </w:rPr>
              <w:t>Compensation</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Club</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69"/>
              <w:spacing w:after="0" w:line="147" w:lineRule="exact"/>
              <w:rPr>
                <w:sz w:val="20"/>
                <w:szCs w:val="20"/>
                <w:color w:val="auto"/>
              </w:rPr>
            </w:pPr>
            <w:r>
              <w:rPr>
                <w:rFonts w:ascii="Arial" w:cs="Arial" w:eastAsia="Arial" w:hAnsi="Arial"/>
                <w:sz w:val="14"/>
                <w:szCs w:val="14"/>
                <w:b w:val="1"/>
                <w:bCs w:val="1"/>
                <w:color w:val="auto"/>
                <w:w w:val="93"/>
              </w:rPr>
              <w:t>to 401(k)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9"/>
              <w:spacing w:after="0" w:line="147" w:lineRule="exact"/>
              <w:rPr>
                <w:sz w:val="20"/>
                <w:szCs w:val="20"/>
                <w:color w:val="auto"/>
              </w:rPr>
            </w:pPr>
            <w:r>
              <w:rPr>
                <w:rFonts w:ascii="Arial" w:cs="Arial" w:eastAsia="Arial" w:hAnsi="Arial"/>
                <w:sz w:val="14"/>
                <w:szCs w:val="14"/>
                <w:b w:val="1"/>
                <w:bCs w:val="1"/>
                <w:color w:val="auto"/>
                <w:w w:val="93"/>
              </w:rPr>
              <w:t>Deferred</w:t>
            </w:r>
          </w:p>
        </w:tc>
        <w:tc>
          <w:tcPr>
            <w:tcW w:w="760" w:type="dxa"/>
            <w:vAlign w:val="bottom"/>
          </w:tcPr>
          <w:p>
            <w:pPr>
              <w:spacing w:after="0"/>
              <w:rPr>
                <w:sz w:val="12"/>
                <w:szCs w:val="12"/>
                <w:color w:val="auto"/>
              </w:rPr>
            </w:pPr>
          </w:p>
        </w:tc>
        <w:tc>
          <w:tcPr>
            <w:tcW w:w="8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for Company</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9"/>
              <w:spacing w:after="0"/>
              <w:rPr>
                <w:sz w:val="20"/>
                <w:szCs w:val="20"/>
                <w:color w:val="auto"/>
              </w:rPr>
            </w:pPr>
            <w:r>
              <w:rPr>
                <w:rFonts w:ascii="Arial" w:cs="Arial" w:eastAsia="Arial" w:hAnsi="Arial"/>
                <w:sz w:val="14"/>
                <w:szCs w:val="14"/>
                <w:b w:val="1"/>
                <w:bCs w:val="1"/>
                <w:color w:val="auto"/>
                <w:w w:val="94"/>
              </w:rPr>
              <w:t>Plan</w:t>
            </w:r>
          </w:p>
        </w:tc>
        <w:tc>
          <w:tcPr>
            <w:tcW w:w="7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Comp. Plan</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29"/>
              <w:spacing w:after="0"/>
              <w:rPr>
                <w:sz w:val="20"/>
                <w:szCs w:val="20"/>
                <w:color w:val="auto"/>
              </w:rPr>
            </w:pPr>
            <w:r>
              <w:rPr>
                <w:rFonts w:ascii="Arial" w:cs="Arial" w:eastAsia="Arial" w:hAnsi="Arial"/>
                <w:sz w:val="14"/>
                <w:szCs w:val="14"/>
                <w:b w:val="1"/>
                <w:bCs w:val="1"/>
                <w:color w:val="auto"/>
                <w:w w:val="94"/>
              </w:rPr>
              <w:t>Matching</w:t>
            </w:r>
          </w:p>
        </w:tc>
        <w:tc>
          <w:tcPr>
            <w:tcW w:w="1640" w:type="dxa"/>
            <w:vAlign w:val="bottom"/>
            <w:gridSpan w:val="4"/>
          </w:tcPr>
          <w:p>
            <w:pPr>
              <w:ind w:left="760"/>
              <w:spacing w:after="0"/>
              <w:rPr>
                <w:sz w:val="20"/>
                <w:szCs w:val="20"/>
                <w:color w:val="auto"/>
              </w:rPr>
            </w:pPr>
            <w:r>
              <w:rPr>
                <w:rFonts w:ascii="Arial" w:cs="Arial" w:eastAsia="Arial" w:hAnsi="Arial"/>
                <w:sz w:val="14"/>
                <w:szCs w:val="14"/>
                <w:b w:val="1"/>
                <w:bCs w:val="1"/>
                <w:color w:val="auto"/>
                <w:w w:val="95"/>
              </w:rPr>
              <w:t>Memberships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4"/>
                <w:szCs w:val="14"/>
                <w:color w:val="auto"/>
              </w:rPr>
              <w:t>Mark W. Kowlzan</w:t>
            </w:r>
          </w:p>
        </w:tc>
        <w:tc>
          <w:tcPr>
            <w:tcW w:w="15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17,025</w:t>
            </w: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52,734</w:t>
            </w:r>
          </w:p>
        </w:tc>
        <w:tc>
          <w:tcPr>
            <w:tcW w:w="7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tcPr>
          <w:p>
            <w:pPr>
              <w:spacing w:after="0" w:line="147" w:lineRule="exact"/>
              <w:rPr>
                <w:sz w:val="20"/>
                <w:szCs w:val="20"/>
                <w:color w:val="auto"/>
              </w:rPr>
            </w:pPr>
            <w:r>
              <w:rPr>
                <w:rFonts w:ascii="Arial" w:cs="Arial" w:eastAsia="Arial" w:hAnsi="Arial"/>
                <w:sz w:val="14"/>
                <w:szCs w:val="14"/>
                <w:color w:val="auto"/>
              </w:rPr>
              <w:t>Thomas A. Hassfurther</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17,094</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37,962</w:t>
            </w:r>
          </w:p>
        </w:tc>
        <w:tc>
          <w:tcPr>
            <w:tcW w:w="940" w:type="dxa"/>
            <w:vAlign w:val="bottom"/>
            <w:gridSpan w:val="2"/>
          </w:tcPr>
          <w:p>
            <w:pPr>
              <w:ind w:left="760"/>
              <w:spacing w:after="0" w:line="147"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7" w:lineRule="exact"/>
              <w:rPr>
                <w:sz w:val="20"/>
                <w:szCs w:val="20"/>
                <w:color w:val="auto"/>
              </w:rPr>
            </w:pPr>
            <w:r>
              <w:rPr>
                <w:rFonts w:ascii="Arial" w:cs="Arial" w:eastAsia="Arial" w:hAnsi="Arial"/>
                <w:sz w:val="14"/>
                <w:szCs w:val="14"/>
                <w:color w:val="auto"/>
              </w:rPr>
              <w:t>85,124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Robert P. Mundy</w:t>
            </w: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16,944</w:t>
            </w:r>
          </w:p>
        </w:tc>
        <w:tc>
          <w:tcPr>
            <w:tcW w:w="8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58,000</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20,349</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tcPr>
          <w:p>
            <w:pPr>
              <w:spacing w:after="0" w:line="147" w:lineRule="exact"/>
              <w:rPr>
                <w:sz w:val="20"/>
                <w:szCs w:val="20"/>
                <w:color w:val="auto"/>
              </w:rPr>
            </w:pPr>
            <w:r>
              <w:rPr>
                <w:rFonts w:ascii="Arial" w:cs="Arial" w:eastAsia="Arial" w:hAnsi="Arial"/>
                <w:sz w:val="14"/>
                <w:szCs w:val="14"/>
                <w:color w:val="auto"/>
              </w:rPr>
              <w:t>Charles J. Carter</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17,023</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55,400</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17,843</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Donald R. Shirley</w:t>
            </w: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12,683</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17,660</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33"/>
        <w:spacing w:after="0" w:line="267" w:lineRule="auto"/>
        <w:rPr>
          <w:sz w:val="20"/>
          <w:szCs w:val="20"/>
          <w:color w:val="auto"/>
        </w:rPr>
      </w:pPr>
      <w:r>
        <w:rPr>
          <w:rFonts w:ascii="Arial" w:cs="Arial" w:eastAsia="Arial" w:hAnsi="Arial"/>
          <w:sz w:val="18"/>
          <w:szCs w:val="18"/>
          <w:color w:val="auto"/>
        </w:rPr>
        <w:t>The methodology for calculating the aggregate incremental cost for payments for club membership dues for Mr. Hassfurther is the actual amounts paid without any tax gross-up.</w:t>
      </w:r>
    </w:p>
    <w:p>
      <w:pPr>
        <w:spacing w:after="0" w:line="113"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13"/>
          </w:cols>
          <w:pgMar w:left="507" w:top="274" w:right="5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Grants of Plan-Based Awards for 2021</w:t>
      </w:r>
    </w:p>
    <w:p>
      <w:pPr>
        <w:spacing w:after="0" w:line="225" w:lineRule="exact"/>
        <w:rPr>
          <w:sz w:val="20"/>
          <w:szCs w:val="20"/>
          <w:color w:val="auto"/>
        </w:rPr>
      </w:pPr>
    </w:p>
    <w:p>
      <w:pPr>
        <w:ind w:right="80" w:firstLine="435"/>
        <w:spacing w:after="0" w:line="267" w:lineRule="auto"/>
        <w:rPr>
          <w:sz w:val="20"/>
          <w:szCs w:val="20"/>
          <w:color w:val="auto"/>
        </w:rPr>
      </w:pPr>
      <w:r>
        <w:rPr>
          <w:rFonts w:ascii="Arial" w:cs="Arial" w:eastAsia="Arial" w:hAnsi="Arial"/>
          <w:sz w:val="18"/>
          <w:szCs w:val="18"/>
          <w:color w:val="auto"/>
        </w:rPr>
        <w:t>The following table describes the plan-based awards made in 2021, including the annual restricted stock awards, the performance unit awards and the annual cash incentive awards made to the named executive officers during the year.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All Other</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80"/>
              <w:spacing w:after="0" w:line="147" w:lineRule="exact"/>
              <w:rPr>
                <w:sz w:val="20"/>
                <w:szCs w:val="20"/>
                <w:color w:val="auto"/>
              </w:rPr>
            </w:pPr>
            <w:r>
              <w:rPr>
                <w:rFonts w:ascii="Arial" w:cs="Arial" w:eastAsia="Arial" w:hAnsi="Arial"/>
                <w:sz w:val="13"/>
                <w:szCs w:val="13"/>
                <w:b w:val="1"/>
                <w:bCs w:val="1"/>
                <w:color w:val="auto"/>
                <w:w w:val="90"/>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tcPr>
          <w:p>
            <w:pPr>
              <w:jc w:val="center"/>
              <w:ind w:right="73"/>
              <w:spacing w:after="0"/>
              <w:rPr>
                <w:sz w:val="20"/>
                <w:szCs w:val="20"/>
                <w:color w:val="auto"/>
              </w:rPr>
            </w:pPr>
            <w:r>
              <w:rPr>
                <w:rFonts w:ascii="Arial" w:cs="Arial" w:eastAsia="Arial" w:hAnsi="Arial"/>
                <w:sz w:val="13"/>
                <w:szCs w:val="13"/>
                <w:b w:val="1"/>
                <w:bCs w:val="1"/>
                <w:color w:val="auto"/>
                <w:w w:val="88"/>
              </w:rPr>
              <w:t>Estimated Possible Payouts</w:t>
            </w:r>
          </w:p>
        </w:tc>
        <w:tc>
          <w:tcPr>
            <w:tcW w:w="160" w:type="dxa"/>
            <w:vAlign w:val="bottom"/>
          </w:tcPr>
          <w:p>
            <w:pPr>
              <w:spacing w:after="0"/>
              <w:rPr>
                <w:sz w:val="15"/>
                <w:szCs w:val="15"/>
                <w:color w:val="auto"/>
              </w:rPr>
            </w:pPr>
          </w:p>
        </w:tc>
        <w:tc>
          <w:tcPr>
            <w:tcW w:w="1920" w:type="dxa"/>
            <w:vAlign w:val="bottom"/>
            <w:gridSpan w:val="6"/>
          </w:tcPr>
          <w:p>
            <w:pPr>
              <w:jc w:val="center"/>
              <w:spacing w:after="0"/>
              <w:rPr>
                <w:sz w:val="20"/>
                <w:szCs w:val="20"/>
                <w:color w:val="auto"/>
              </w:rPr>
            </w:pPr>
            <w:r>
              <w:rPr>
                <w:rFonts w:ascii="Arial" w:cs="Arial" w:eastAsia="Arial" w:hAnsi="Arial"/>
                <w:sz w:val="13"/>
                <w:szCs w:val="13"/>
                <w:b w:val="1"/>
                <w:bCs w:val="1"/>
                <w:color w:val="auto"/>
                <w:w w:val="93"/>
              </w:rPr>
              <w:t>Estimated Future Payouts</w:t>
            </w:r>
          </w:p>
        </w:tc>
        <w:tc>
          <w:tcPr>
            <w:tcW w:w="14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Awards:</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tcPr>
          <w:p>
            <w:pPr>
              <w:jc w:val="center"/>
              <w:ind w:right="73"/>
              <w:spacing w:after="0" w:line="147" w:lineRule="exact"/>
              <w:rPr>
                <w:sz w:val="20"/>
                <w:szCs w:val="20"/>
                <w:color w:val="auto"/>
              </w:rPr>
            </w:pPr>
            <w:r>
              <w:rPr>
                <w:rFonts w:ascii="Arial" w:cs="Arial" w:eastAsia="Arial" w:hAnsi="Arial"/>
                <w:sz w:val="13"/>
                <w:szCs w:val="13"/>
                <w:b w:val="1"/>
                <w:bCs w:val="1"/>
                <w:color w:val="auto"/>
                <w:w w:val="95"/>
              </w:rPr>
              <w:t>Under Non-Equity Incentive</w:t>
            </w:r>
          </w:p>
        </w:tc>
        <w:tc>
          <w:tcPr>
            <w:tcW w:w="160" w:type="dxa"/>
            <w:vAlign w:val="bottom"/>
          </w:tcPr>
          <w:p>
            <w:pPr>
              <w:spacing w:after="0"/>
              <w:rPr>
                <w:sz w:val="12"/>
                <w:szCs w:val="12"/>
                <w:color w:val="auto"/>
              </w:rPr>
            </w:pPr>
          </w:p>
        </w:tc>
        <w:tc>
          <w:tcPr>
            <w:tcW w:w="1920" w:type="dxa"/>
            <w:vAlign w:val="bottom"/>
            <w:gridSpan w:val="6"/>
          </w:tcPr>
          <w:p>
            <w:pPr>
              <w:jc w:val="center"/>
              <w:spacing w:after="0" w:line="147" w:lineRule="exact"/>
              <w:rPr>
                <w:sz w:val="20"/>
                <w:szCs w:val="20"/>
                <w:color w:val="auto"/>
              </w:rPr>
            </w:pPr>
            <w:r>
              <w:rPr>
                <w:rFonts w:ascii="Arial" w:cs="Arial" w:eastAsia="Arial" w:hAnsi="Arial"/>
                <w:sz w:val="13"/>
                <w:szCs w:val="13"/>
                <w:b w:val="1"/>
                <w:bCs w:val="1"/>
                <w:color w:val="auto"/>
                <w:w w:val="95"/>
              </w:rPr>
              <w:t>Under -Equity Incentive</w:t>
            </w:r>
          </w:p>
        </w:tc>
        <w:tc>
          <w:tcPr>
            <w:tcW w:w="920" w:type="dxa"/>
            <w:vAlign w:val="bottom"/>
            <w:gridSpan w:val="3"/>
          </w:tcPr>
          <w:p>
            <w:pPr>
              <w:jc w:val="center"/>
              <w:ind w:right="20"/>
              <w:spacing w:after="0" w:line="147" w:lineRule="exact"/>
              <w:rPr>
                <w:sz w:val="20"/>
                <w:szCs w:val="20"/>
                <w:color w:val="auto"/>
              </w:rPr>
            </w:pPr>
            <w:r>
              <w:rPr>
                <w:rFonts w:ascii="Arial" w:cs="Arial" w:eastAsia="Arial" w:hAnsi="Arial"/>
                <w:sz w:val="13"/>
                <w:szCs w:val="13"/>
                <w:b w:val="1"/>
                <w:bCs w:val="1"/>
                <w:color w:val="auto"/>
                <w:w w:val="95"/>
              </w:rPr>
              <w:t>Number of</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4"/>
          </w:tcPr>
          <w:p>
            <w:pPr>
              <w:jc w:val="center"/>
              <w:ind w:right="533"/>
              <w:spacing w:after="0" w:line="147" w:lineRule="exact"/>
              <w:rPr>
                <w:sz w:val="20"/>
                <w:szCs w:val="20"/>
                <w:color w:val="auto"/>
              </w:rPr>
            </w:pPr>
            <w:r>
              <w:rPr>
                <w:rFonts w:ascii="Arial" w:cs="Arial" w:eastAsia="Arial" w:hAnsi="Arial"/>
                <w:sz w:val="13"/>
                <w:szCs w:val="13"/>
                <w:b w:val="1"/>
                <w:bCs w:val="1"/>
                <w:color w:val="auto"/>
                <w:w w:val="95"/>
              </w:rPr>
              <w:t>Plan Awards(1)</w:t>
            </w:r>
          </w:p>
        </w:tc>
        <w:tc>
          <w:tcPr>
            <w:tcW w:w="160" w:type="dxa"/>
            <w:vAlign w:val="bottom"/>
          </w:tcPr>
          <w:p>
            <w:pPr>
              <w:spacing w:after="0"/>
              <w:rPr>
                <w:sz w:val="12"/>
                <w:szCs w:val="12"/>
                <w:color w:val="auto"/>
              </w:rPr>
            </w:pPr>
          </w:p>
        </w:tc>
        <w:tc>
          <w:tcPr>
            <w:tcW w:w="1460" w:type="dxa"/>
            <w:vAlign w:val="bottom"/>
            <w:gridSpan w:val="5"/>
          </w:tcPr>
          <w:p>
            <w:pPr>
              <w:jc w:val="center"/>
              <w:ind w:left="373"/>
              <w:spacing w:after="0" w:line="147" w:lineRule="exact"/>
              <w:rPr>
                <w:sz w:val="20"/>
                <w:szCs w:val="20"/>
                <w:color w:val="auto"/>
              </w:rPr>
            </w:pPr>
            <w:r>
              <w:rPr>
                <w:rFonts w:ascii="Arial" w:cs="Arial" w:eastAsia="Arial" w:hAnsi="Arial"/>
                <w:sz w:val="13"/>
                <w:szCs w:val="13"/>
                <w:b w:val="1"/>
                <w:bCs w:val="1"/>
                <w:color w:val="auto"/>
                <w:w w:val="91"/>
              </w:rPr>
              <w:t>Plan Awards(2)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60"/>
              <w:spacing w:after="0" w:line="147" w:lineRule="exact"/>
              <w:rPr>
                <w:sz w:val="20"/>
                <w:szCs w:val="20"/>
                <w:color w:val="auto"/>
              </w:rPr>
            </w:pPr>
            <w:r>
              <w:rPr>
                <w:rFonts w:ascii="Arial" w:cs="Arial" w:eastAsia="Arial" w:hAnsi="Arial"/>
                <w:sz w:val="13"/>
                <w:szCs w:val="13"/>
                <w:b w:val="1"/>
                <w:bCs w:val="1"/>
                <w:color w:val="auto"/>
                <w:w w:val="91"/>
              </w:rPr>
              <w:t>Shares of</w:t>
            </w:r>
          </w:p>
        </w:tc>
        <w:tc>
          <w:tcPr>
            <w:tcW w:w="640" w:type="dxa"/>
            <w:vAlign w:val="bottom"/>
            <w:gridSpan w:val="2"/>
          </w:tcPr>
          <w:p>
            <w:pPr>
              <w:jc w:val="center"/>
              <w:ind w:right="60"/>
              <w:spacing w:after="0" w:line="147"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restart"/>
          </w:tcPr>
          <w:p>
            <w:pPr>
              <w:jc w:val="center"/>
              <w:ind w:right="180"/>
              <w:spacing w:after="0" w:line="121" w:lineRule="exact"/>
              <w:rPr>
                <w:sz w:val="20"/>
                <w:szCs w:val="20"/>
                <w:color w:val="auto"/>
              </w:rPr>
            </w:pPr>
            <w:r>
              <w:rPr>
                <w:rFonts w:ascii="Arial" w:cs="Arial" w:eastAsia="Arial" w:hAnsi="Arial"/>
                <w:sz w:val="13"/>
                <w:szCs w:val="13"/>
                <w:b w:val="1"/>
                <w:bCs w:val="1"/>
                <w:color w:val="auto"/>
                <w:w w:val="90"/>
              </w:rPr>
              <w:t>Stock</w:t>
            </w:r>
          </w:p>
        </w:tc>
        <w:tc>
          <w:tcPr>
            <w:tcW w:w="640" w:type="dxa"/>
            <w:vAlign w:val="bottom"/>
            <w:gridSpan w:val="2"/>
            <w:vMerge w:val="restart"/>
          </w:tcPr>
          <w:p>
            <w:pPr>
              <w:jc w:val="center"/>
              <w:ind w:right="60"/>
              <w:spacing w:after="0" w:line="121" w:lineRule="exact"/>
              <w:rPr>
                <w:sz w:val="20"/>
                <w:szCs w:val="20"/>
                <w:color w:val="auto"/>
              </w:rPr>
            </w:pPr>
            <w:r>
              <w:rPr>
                <w:rFonts w:ascii="Arial" w:cs="Arial" w:eastAsia="Arial" w:hAnsi="Arial"/>
                <w:sz w:val="13"/>
                <w:szCs w:val="13"/>
                <w:b w:val="1"/>
                <w:bCs w:val="1"/>
                <w:color w:val="auto"/>
                <w:w w:val="96"/>
              </w:rPr>
              <w:t>Date Fair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line="147" w:lineRule="exact"/>
              <w:rPr>
                <w:sz w:val="20"/>
                <w:szCs w:val="20"/>
                <w:color w:val="auto"/>
              </w:rPr>
            </w:pPr>
            <w:r>
              <w:rPr>
                <w:rFonts w:ascii="Arial" w:cs="Arial" w:eastAsia="Arial" w:hAnsi="Arial"/>
                <w:sz w:val="13"/>
                <w:szCs w:val="13"/>
                <w:b w:val="1"/>
                <w:bCs w:val="1"/>
                <w:color w:val="auto"/>
                <w:w w:val="93"/>
              </w:rPr>
              <w:t>or Units</w:t>
            </w:r>
          </w:p>
        </w:tc>
        <w:tc>
          <w:tcPr>
            <w:tcW w:w="640" w:type="dxa"/>
            <w:vAlign w:val="bottom"/>
            <w:gridSpan w:val="2"/>
          </w:tcPr>
          <w:p>
            <w:pPr>
              <w:jc w:val="center"/>
              <w:ind w:right="60"/>
              <w:spacing w:after="0" w:line="147" w:lineRule="exact"/>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vMerge w:val="restart"/>
          </w:tcPr>
          <w:p>
            <w:pPr>
              <w:ind w:left="190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2"/>
                <w:szCs w:val="12"/>
                <w:color w:val="auto"/>
              </w:rPr>
            </w:pPr>
          </w:p>
        </w:tc>
        <w:tc>
          <w:tcPr>
            <w:tcW w:w="620" w:type="dxa"/>
            <w:vAlign w:val="bottom"/>
          </w:tcPr>
          <w:p>
            <w:pPr>
              <w:jc w:val="right"/>
              <w:ind w:right="70"/>
              <w:spacing w:after="0" w:line="147" w:lineRule="exact"/>
              <w:rPr>
                <w:sz w:val="20"/>
                <w:szCs w:val="20"/>
                <w:color w:val="auto"/>
              </w:rPr>
            </w:pPr>
            <w:r>
              <w:rPr>
                <w:rFonts w:ascii="Arial" w:cs="Arial" w:eastAsia="Arial" w:hAnsi="Arial"/>
                <w:sz w:val="13"/>
                <w:szCs w:val="13"/>
                <w:b w:val="1"/>
                <w:bCs w:val="1"/>
                <w:color w:val="auto"/>
              </w:rPr>
              <w:t>Grant</w:t>
            </w:r>
          </w:p>
        </w:tc>
        <w:tc>
          <w:tcPr>
            <w:tcW w:w="740" w:type="dxa"/>
            <w:vAlign w:val="bottom"/>
            <w:gridSpan w:val="3"/>
          </w:tcPr>
          <w:p>
            <w:pPr>
              <w:jc w:val="right"/>
              <w:spacing w:after="0" w:line="147" w:lineRule="exact"/>
              <w:rPr>
                <w:sz w:val="20"/>
                <w:szCs w:val="20"/>
                <w:color w:val="auto"/>
              </w:rPr>
            </w:pPr>
            <w:r>
              <w:rPr>
                <w:rFonts w:ascii="Arial" w:cs="Arial" w:eastAsia="Arial" w:hAnsi="Arial"/>
                <w:sz w:val="13"/>
                <w:szCs w:val="13"/>
                <w:b w:val="1"/>
                <w:bCs w:val="1"/>
                <w:color w:val="auto"/>
              </w:rPr>
              <w:t>Threshold</w:t>
            </w:r>
          </w:p>
        </w:tc>
        <w:tc>
          <w:tcPr>
            <w:tcW w:w="140" w:type="dxa"/>
            <w:vAlign w:val="bottom"/>
          </w:tcPr>
          <w:p>
            <w:pPr>
              <w:spacing w:after="0"/>
              <w:rPr>
                <w:sz w:val="12"/>
                <w:szCs w:val="12"/>
                <w:color w:val="auto"/>
              </w:rPr>
            </w:pP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b w:val="1"/>
                <w:bCs w:val="1"/>
                <w:color w:val="auto"/>
              </w:rPr>
              <w:t>Target</w:t>
            </w:r>
          </w:p>
        </w:tc>
        <w:tc>
          <w:tcPr>
            <w:tcW w:w="14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Arial" w:cs="Arial" w:eastAsia="Arial" w:hAnsi="Arial"/>
                <w:sz w:val="13"/>
                <w:szCs w:val="13"/>
                <w:b w:val="1"/>
                <w:bCs w:val="1"/>
                <w:color w:val="auto"/>
                <w:w w:val="99"/>
              </w:rPr>
              <w:t>Maximum</w:t>
            </w:r>
          </w:p>
        </w:tc>
        <w:tc>
          <w:tcPr>
            <w:tcW w:w="880" w:type="dxa"/>
            <w:vAlign w:val="bottom"/>
            <w:gridSpan w:val="3"/>
          </w:tcPr>
          <w:p>
            <w:pPr>
              <w:ind w:left="160"/>
              <w:spacing w:after="0" w:line="147" w:lineRule="exact"/>
              <w:rPr>
                <w:sz w:val="20"/>
                <w:szCs w:val="20"/>
                <w:color w:val="auto"/>
              </w:rPr>
            </w:pPr>
            <w:r>
              <w:rPr>
                <w:rFonts w:ascii="Arial" w:cs="Arial" w:eastAsia="Arial" w:hAnsi="Arial"/>
                <w:sz w:val="13"/>
                <w:szCs w:val="13"/>
                <w:b w:val="1"/>
                <w:bCs w:val="1"/>
                <w:color w:val="auto"/>
              </w:rPr>
              <w:t>Threshold</w:t>
            </w:r>
          </w:p>
        </w:tc>
        <w:tc>
          <w:tcPr>
            <w:tcW w:w="1200" w:type="dxa"/>
            <w:vAlign w:val="bottom"/>
            <w:gridSpan w:val="4"/>
          </w:tcPr>
          <w:p>
            <w:pPr>
              <w:jc w:val="right"/>
              <w:spacing w:after="0" w:line="147" w:lineRule="exact"/>
              <w:rPr>
                <w:sz w:val="20"/>
                <w:szCs w:val="20"/>
                <w:color w:val="auto"/>
              </w:rPr>
            </w:pPr>
            <w:r>
              <w:rPr>
                <w:rFonts w:ascii="Arial" w:cs="Arial" w:eastAsia="Arial" w:hAnsi="Arial"/>
                <w:sz w:val="13"/>
                <w:szCs w:val="13"/>
                <w:b w:val="1"/>
                <w:bCs w:val="1"/>
                <w:color w:val="auto"/>
              </w:rPr>
              <w:t>Target   Maximum</w:t>
            </w:r>
          </w:p>
        </w:tc>
        <w:tc>
          <w:tcPr>
            <w:tcW w:w="760" w:type="dxa"/>
            <w:vAlign w:val="bottom"/>
            <w:gridSpan w:val="2"/>
          </w:tcPr>
          <w:p>
            <w:pPr>
              <w:jc w:val="center"/>
              <w:ind w:left="71"/>
              <w:spacing w:after="0" w:line="147" w:lineRule="exact"/>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2"/>
                <w:szCs w:val="12"/>
                <w:color w:val="auto"/>
              </w:rPr>
            </w:pPr>
          </w:p>
        </w:tc>
        <w:tc>
          <w:tcPr>
            <w:tcW w:w="640" w:type="dxa"/>
            <w:vAlign w:val="bottom"/>
            <w:gridSpan w:val="2"/>
          </w:tcPr>
          <w:p>
            <w:pPr>
              <w:jc w:val="center"/>
              <w:ind w:right="40"/>
              <w:spacing w:after="0" w:line="147" w:lineRule="exact"/>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10"/>
              <w:spacing w:after="0" w:line="146" w:lineRule="exact"/>
              <w:rPr>
                <w:sz w:val="20"/>
                <w:szCs w:val="20"/>
                <w:color w:val="auto"/>
              </w:rPr>
            </w:pPr>
            <w:r>
              <w:rPr>
                <w:rFonts w:ascii="Arial" w:cs="Arial" w:eastAsia="Arial" w:hAnsi="Arial"/>
                <w:sz w:val="13"/>
                <w:szCs w:val="13"/>
                <w:b w:val="1"/>
                <w:bCs w:val="1"/>
                <w:color w:val="auto"/>
              </w:rPr>
              <w:t>Date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71"/>
              <w:spacing w:after="0" w:line="146" w:lineRule="exact"/>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right"/>
              <w:ind w:right="193"/>
              <w:spacing w:after="0" w:line="146" w:lineRule="exact"/>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173"/>
              <w:spacing w:after="0" w:line="146"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53"/>
              <w:spacing w:after="0" w:line="146"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4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69"/>
              <w:spacing w:after="0" w:line="146" w:lineRule="exact"/>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71"/>
              <w:spacing w:after="0" w:line="146" w:lineRule="exact"/>
              <w:rPr>
                <w:sz w:val="20"/>
                <w:szCs w:val="20"/>
                <w:color w:val="auto"/>
              </w:rPr>
            </w:pPr>
            <w:r>
              <w:rPr>
                <w:rFonts w:ascii="Arial" w:cs="Arial" w:eastAsia="Arial" w:hAnsi="Arial"/>
                <w:sz w:val="13"/>
                <w:szCs w:val="13"/>
                <w:b w:val="1"/>
                <w:bCs w:val="1"/>
                <w:color w:val="auto"/>
                <w:w w:val="87"/>
              </w:rPr>
              <w:t>(2)</w:t>
            </w:r>
          </w:p>
        </w:tc>
        <w:tc>
          <w:tcPr>
            <w:tcW w:w="160" w:type="dxa"/>
            <w:vAlign w:val="bottom"/>
          </w:tcPr>
          <w:p>
            <w:pPr>
              <w:spacing w:after="0"/>
              <w:rPr>
                <w:sz w:val="14"/>
                <w:szCs w:val="14"/>
                <w:color w:val="auto"/>
              </w:rPr>
            </w:pPr>
          </w:p>
        </w:tc>
        <w:tc>
          <w:tcPr>
            <w:tcW w:w="64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2"/>
              </w:rPr>
              <w:t>Awards(2)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920" w:type="dxa"/>
            <w:vAlign w:val="bottom"/>
            <w:tcBorders>
              <w:top w:val="single" w:sz="8" w:color="CCEEFF"/>
            </w:tcBorders>
            <w:shd w:val="clear" w:color="auto" w:fill="CCEEFF"/>
          </w:tcPr>
          <w:p>
            <w:pPr>
              <w:spacing w:after="0" w:line="102" w:lineRule="exact"/>
              <w:rPr>
                <w:sz w:val="20"/>
                <w:szCs w:val="20"/>
                <w:color w:val="auto"/>
              </w:rPr>
            </w:pPr>
            <w:r>
              <w:rPr>
                <w:rFonts w:ascii="Arial" w:cs="Arial" w:eastAsia="Arial" w:hAnsi="Arial"/>
                <w:sz w:val="11"/>
                <w:szCs w:val="11"/>
                <w:color w:val="auto"/>
              </w:rPr>
              <w:t>Mark W. Kowlzan</w:t>
            </w:r>
          </w:p>
        </w:tc>
        <w:tc>
          <w:tcPr>
            <w:tcW w:w="320" w:type="dxa"/>
            <w:vAlign w:val="bottom"/>
            <w:tcBorders>
              <w:top w:val="single" w:sz="8" w:color="auto"/>
            </w:tcBorders>
            <w:shd w:val="clear" w:color="auto" w:fill="CCEEFF"/>
          </w:tcPr>
          <w:p>
            <w:pPr>
              <w:spacing w:after="0"/>
              <w:rPr>
                <w:sz w:val="8"/>
                <w:szCs w:val="8"/>
                <w:color w:val="auto"/>
              </w:rPr>
            </w:pPr>
          </w:p>
        </w:tc>
        <w:tc>
          <w:tcPr>
            <w:tcW w:w="19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2/23/2021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16,838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3"/>
              </w:rPr>
              <w:t>2,248,547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4"/>
                <w:szCs w:val="14"/>
                <w:color w:val="auto"/>
              </w:rPr>
              <w:t>ROIC Units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2/23/2021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6,735</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16,838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20,206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3"/>
              </w:rPr>
              <w:t>2,248,547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4"/>
                <w:szCs w:val="14"/>
                <w:color w:val="auto"/>
              </w:rPr>
              <w:t>TSR Units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2/23/2021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15,177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7"/>
              </w:rPr>
              <w:t>30,354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3"/>
              </w:rPr>
              <w:t>2,248,624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Annual Cash Incentive</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$2,333,750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$3,600,000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60" w:type="dxa"/>
            <w:vAlign w:val="bottom"/>
            <w:gridSpan w:val="3"/>
          </w:tcPr>
          <w:p>
            <w:pPr>
              <w:spacing w:after="0" w:line="128" w:lineRule="exact"/>
              <w:rPr>
                <w:sz w:val="20"/>
                <w:szCs w:val="20"/>
                <w:color w:val="auto"/>
              </w:rPr>
            </w:pPr>
            <w:r>
              <w:rPr>
                <w:rFonts w:ascii="Arial" w:cs="Arial" w:eastAsia="Arial" w:hAnsi="Arial"/>
                <w:sz w:val="14"/>
                <w:szCs w:val="14"/>
                <w:color w:val="auto"/>
              </w:rPr>
              <w:t>Thomas A. Hassfurther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tcPr>
          <w:p>
            <w:pPr>
              <w:ind w:left="120"/>
              <w:spacing w:after="0" w:line="147" w:lineRule="exact"/>
              <w:rPr>
                <w:sz w:val="20"/>
                <w:szCs w:val="20"/>
                <w:color w:val="auto"/>
              </w:rPr>
            </w:pPr>
            <w:r>
              <w:rPr>
                <w:rFonts w:ascii="Arial" w:cs="Arial" w:eastAsia="Arial" w:hAnsi="Arial"/>
                <w:sz w:val="14"/>
                <w:szCs w:val="14"/>
                <w:color w:val="auto"/>
              </w:rPr>
              <w:t>Restricted Stock</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2/23/2021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11,647</w:t>
            </w: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w w:val="93"/>
              </w:rPr>
              <w:t>1,555,340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tcPr>
          <w:p>
            <w:pPr>
              <w:ind w:left="120"/>
              <w:spacing w:after="0" w:line="147" w:lineRule="exact"/>
              <w:rPr>
                <w:sz w:val="20"/>
                <w:szCs w:val="20"/>
                <w:color w:val="auto"/>
              </w:rPr>
            </w:pPr>
            <w:r>
              <w:rPr>
                <w:rFonts w:ascii="Arial" w:cs="Arial" w:eastAsia="Arial" w:hAnsi="Arial"/>
                <w:sz w:val="14"/>
                <w:szCs w:val="14"/>
                <w:color w:val="auto"/>
              </w:rPr>
              <w:t>ROIC Units</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2/23/2021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4,659</w:t>
            </w:r>
          </w:p>
        </w:tc>
        <w:tc>
          <w:tcPr>
            <w:tcW w:w="14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color w:val="auto"/>
                <w:w w:val="97"/>
              </w:rPr>
              <w:t>11,647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w w:val="97"/>
              </w:rPr>
              <w:t>13,976</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w w:val="93"/>
              </w:rPr>
              <w:t>1,555,340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tcPr>
          <w:p>
            <w:pPr>
              <w:ind w:left="120"/>
              <w:spacing w:after="0" w:line="147" w:lineRule="exact"/>
              <w:rPr>
                <w:sz w:val="20"/>
                <w:szCs w:val="20"/>
                <w:color w:val="auto"/>
              </w:rPr>
            </w:pPr>
            <w:r>
              <w:rPr>
                <w:rFonts w:ascii="Arial" w:cs="Arial" w:eastAsia="Arial" w:hAnsi="Arial"/>
                <w:sz w:val="14"/>
                <w:szCs w:val="14"/>
                <w:color w:val="auto"/>
              </w:rPr>
              <w:t>TSR Units</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2/23/2021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color w:val="auto"/>
                <w:w w:val="97"/>
              </w:rPr>
              <w:t>10,498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w w:val="97"/>
              </w:rPr>
              <w:t>20,996</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w w:val="93"/>
              </w:rPr>
              <w:t>1,555,384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gridSpan w:val="3"/>
          </w:tcPr>
          <w:p>
            <w:pPr>
              <w:ind w:left="120"/>
              <w:spacing w:after="0"/>
              <w:rPr>
                <w:sz w:val="20"/>
                <w:szCs w:val="20"/>
                <w:color w:val="auto"/>
              </w:rPr>
            </w:pPr>
            <w:r>
              <w:rPr>
                <w:rFonts w:ascii="Arial" w:cs="Arial" w:eastAsia="Arial" w:hAnsi="Arial"/>
                <w:sz w:val="14"/>
                <w:szCs w:val="14"/>
                <w:color w:val="auto"/>
              </w:rPr>
              <w:t>Annual Cash Incentive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1,571,250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2,450,000</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60" w:type="dxa"/>
            <w:vAlign w:val="bottom"/>
            <w:gridSpan w:val="3"/>
            <w:shd w:val="clear" w:color="auto" w:fill="CCEEFF"/>
          </w:tcPr>
          <w:p>
            <w:pPr>
              <w:spacing w:after="0" w:line="128" w:lineRule="exact"/>
              <w:rPr>
                <w:sz w:val="20"/>
                <w:szCs w:val="20"/>
                <w:color w:val="auto"/>
              </w:rPr>
            </w:pPr>
            <w:r>
              <w:rPr>
                <w:rFonts w:ascii="Arial" w:cs="Arial" w:eastAsia="Arial" w:hAnsi="Arial"/>
                <w:sz w:val="14"/>
                <w:szCs w:val="14"/>
                <w:color w:val="auto"/>
              </w:rPr>
              <w:t>Robert P. Mundy</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2/23/2021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4,420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590,247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4"/>
                <w:szCs w:val="14"/>
                <w:color w:val="auto"/>
              </w:rPr>
              <w:t>ROIC Units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2/23/2021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1,768</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4,420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5,304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590,247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4"/>
                <w:szCs w:val="14"/>
                <w:color w:val="auto"/>
              </w:rPr>
              <w:t>TSR Units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2/23/2021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3,984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7,968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590,269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Annual Cash Incentive</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1,048,750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1,600,000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60" w:type="dxa"/>
            <w:vAlign w:val="bottom"/>
            <w:gridSpan w:val="3"/>
          </w:tcPr>
          <w:p>
            <w:pPr>
              <w:spacing w:after="0" w:line="128" w:lineRule="exact"/>
              <w:rPr>
                <w:sz w:val="20"/>
                <w:szCs w:val="20"/>
                <w:color w:val="auto"/>
              </w:rPr>
            </w:pPr>
            <w:r>
              <w:rPr>
                <w:rFonts w:ascii="Arial" w:cs="Arial" w:eastAsia="Arial" w:hAnsi="Arial"/>
                <w:sz w:val="14"/>
                <w:szCs w:val="14"/>
                <w:color w:val="auto"/>
              </w:rPr>
              <w:t>Charles J. Carter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tcPr>
          <w:p>
            <w:pPr>
              <w:ind w:left="120"/>
              <w:spacing w:after="0" w:line="147" w:lineRule="exact"/>
              <w:rPr>
                <w:sz w:val="20"/>
                <w:szCs w:val="20"/>
                <w:color w:val="auto"/>
              </w:rPr>
            </w:pPr>
            <w:r>
              <w:rPr>
                <w:rFonts w:ascii="Arial" w:cs="Arial" w:eastAsia="Arial" w:hAnsi="Arial"/>
                <w:sz w:val="14"/>
                <w:szCs w:val="14"/>
                <w:color w:val="auto"/>
              </w:rPr>
              <w:t>Restricted Stock</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2/23/2021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3,649</w:t>
            </w: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487,287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tcPr>
          <w:p>
            <w:pPr>
              <w:ind w:left="120"/>
              <w:spacing w:after="0" w:line="147" w:lineRule="exact"/>
              <w:rPr>
                <w:sz w:val="20"/>
                <w:szCs w:val="20"/>
                <w:color w:val="auto"/>
              </w:rPr>
            </w:pPr>
            <w:r>
              <w:rPr>
                <w:rFonts w:ascii="Arial" w:cs="Arial" w:eastAsia="Arial" w:hAnsi="Arial"/>
                <w:sz w:val="14"/>
                <w:szCs w:val="14"/>
                <w:color w:val="auto"/>
              </w:rPr>
              <w:t>ROIC Units</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2/23/2021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1,460</w:t>
            </w:r>
          </w:p>
        </w:tc>
        <w:tc>
          <w:tcPr>
            <w:tcW w:w="14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color w:val="auto"/>
              </w:rPr>
              <w:t>3,649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4,379</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487,287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tcPr>
          <w:p>
            <w:pPr>
              <w:ind w:left="120"/>
              <w:spacing w:after="0" w:line="147" w:lineRule="exact"/>
              <w:rPr>
                <w:sz w:val="20"/>
                <w:szCs w:val="20"/>
                <w:color w:val="auto"/>
              </w:rPr>
            </w:pPr>
            <w:r>
              <w:rPr>
                <w:rFonts w:ascii="Arial" w:cs="Arial" w:eastAsia="Arial" w:hAnsi="Arial"/>
                <w:sz w:val="14"/>
                <w:szCs w:val="14"/>
                <w:color w:val="auto"/>
              </w:rPr>
              <w:t>TSR Units</w:t>
            </w: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2/23/2021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0</w:t>
            </w:r>
          </w:p>
        </w:tc>
        <w:tc>
          <w:tcPr>
            <w:tcW w:w="14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Arial" w:cs="Arial" w:eastAsia="Arial" w:hAnsi="Arial"/>
                <w:sz w:val="14"/>
                <w:szCs w:val="14"/>
                <w:color w:val="auto"/>
              </w:rPr>
              <w:t>3,288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4"/>
                <w:szCs w:val="14"/>
                <w:color w:val="auto"/>
              </w:rPr>
              <w:t>6,576</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Arial" w:cs="Arial" w:eastAsia="Arial" w:hAnsi="Arial"/>
                <w:sz w:val="14"/>
                <w:szCs w:val="14"/>
                <w:color w:val="auto"/>
              </w:rPr>
              <w:t>487,150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gridSpan w:val="3"/>
          </w:tcPr>
          <w:p>
            <w:pPr>
              <w:ind w:left="120"/>
              <w:spacing w:after="0"/>
              <w:rPr>
                <w:sz w:val="20"/>
                <w:szCs w:val="20"/>
                <w:color w:val="auto"/>
              </w:rPr>
            </w:pPr>
            <w:r>
              <w:rPr>
                <w:rFonts w:ascii="Arial" w:cs="Arial" w:eastAsia="Arial" w:hAnsi="Arial"/>
                <w:sz w:val="14"/>
                <w:szCs w:val="14"/>
                <w:color w:val="auto"/>
              </w:rPr>
              <w:t>Annual Cash Incentive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556,250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900,000</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60" w:type="dxa"/>
            <w:vAlign w:val="bottom"/>
            <w:gridSpan w:val="3"/>
            <w:shd w:val="clear" w:color="auto" w:fill="CCEEFF"/>
          </w:tcPr>
          <w:p>
            <w:pPr>
              <w:spacing w:after="0" w:line="128" w:lineRule="exact"/>
              <w:rPr>
                <w:sz w:val="20"/>
                <w:szCs w:val="20"/>
                <w:color w:val="auto"/>
              </w:rPr>
            </w:pPr>
            <w:r>
              <w:rPr>
                <w:rFonts w:ascii="Arial" w:cs="Arial" w:eastAsia="Arial" w:hAnsi="Arial"/>
                <w:sz w:val="14"/>
                <w:szCs w:val="14"/>
                <w:color w:val="auto"/>
              </w:rPr>
              <w:t>Donald R. Shirley</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2/23/2021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2,837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378,853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4"/>
                <w:szCs w:val="14"/>
                <w:color w:val="auto"/>
              </w:rPr>
              <w:t>ROIC Units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2/23/2021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1,135</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2,837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3,404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378,853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gridSpan w:val="3"/>
            <w:shd w:val="clear" w:color="auto" w:fill="CCEEFF"/>
          </w:tcPr>
          <w:p>
            <w:pPr>
              <w:ind w:left="120"/>
              <w:spacing w:after="0" w:line="147" w:lineRule="exact"/>
              <w:rPr>
                <w:sz w:val="20"/>
                <w:szCs w:val="20"/>
                <w:color w:val="auto"/>
              </w:rPr>
            </w:pPr>
            <w:r>
              <w:rPr>
                <w:rFonts w:ascii="Arial" w:cs="Arial" w:eastAsia="Arial" w:hAnsi="Arial"/>
                <w:sz w:val="14"/>
                <w:szCs w:val="14"/>
                <w:color w:val="auto"/>
              </w:rPr>
              <w:t>TSR Units</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2/23/2021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5,114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378,845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Annual Cash Incentive</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513,750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855,000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531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54" w:lineRule="exact"/>
        <w:rPr>
          <w:sz w:val="20"/>
          <w:szCs w:val="20"/>
          <w:color w:val="auto"/>
        </w:rPr>
      </w:pPr>
    </w:p>
    <w:p>
      <w:pPr>
        <w:ind w:left="440" w:right="200" w:hanging="433"/>
        <w:spacing w:after="0" w:line="253"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shown under “Estimated Possible Payouts Under Non-Equity Incentive Plan Awards” reflect the 2021 threshold, target and maximum awards for each named executive officer under our annual cash incentive compensation plan, described in “Compensation Discussion and Analysis-Annual Cash Incentive Awards.” The 2021 awards have been paid to the named executive officers and are reported as non-equity incentive plan compensation in the Summary Compensation Table.</w:t>
      </w:r>
    </w:p>
    <w:p>
      <w:pPr>
        <w:spacing w:after="0" w:line="100" w:lineRule="exact"/>
        <w:rPr>
          <w:rFonts w:ascii="Arial" w:cs="Arial" w:eastAsia="Arial" w:hAnsi="Arial"/>
          <w:sz w:val="18"/>
          <w:szCs w:val="18"/>
          <w:color w:val="auto"/>
        </w:rPr>
      </w:pPr>
    </w:p>
    <w:p>
      <w:pPr>
        <w:ind w:left="440" w:right="120" w:hanging="433"/>
        <w:spacing w:after="0" w:line="297" w:lineRule="auto"/>
        <w:tabs>
          <w:tab w:leader="none" w:pos="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grant date fair value of our stock awards is determined in accordance with FASB ASC Topic 718. Please refer to Note 15 of our consolidated financial statements included in the accompanying annual report for a description of how such value is determined.</w:t>
      </w:r>
    </w:p>
    <w:p>
      <w:pPr>
        <w:spacing w:after="0" w:line="49" w:lineRule="exact"/>
        <w:rPr>
          <w:rFonts w:ascii="Arial" w:cs="Arial" w:eastAsia="Arial" w:hAnsi="Arial"/>
          <w:sz w:val="17"/>
          <w:szCs w:val="17"/>
          <w:color w:val="auto"/>
        </w:rPr>
      </w:pPr>
    </w:p>
    <w:p>
      <w:pPr>
        <w:ind w:left="440" w:right="180"/>
        <w:spacing w:after="0" w:line="253" w:lineRule="auto"/>
        <w:rPr>
          <w:rFonts w:ascii="Arial" w:cs="Arial" w:eastAsia="Arial" w:hAnsi="Arial"/>
          <w:sz w:val="17"/>
          <w:szCs w:val="17"/>
          <w:color w:val="auto"/>
        </w:rPr>
      </w:pPr>
      <w:r>
        <w:rPr>
          <w:rFonts w:ascii="Arial" w:cs="Arial" w:eastAsia="Arial" w:hAnsi="Arial"/>
          <w:sz w:val="18"/>
          <w:szCs w:val="18"/>
          <w:color w:val="auto"/>
        </w:rPr>
        <w:t>Restricted stock may not be sold or transferred until such stock vests. As a condition to vesting, the holder of restricted stock must remain employed by, serve as a director of, or otherwise provide services to, PCA on the vesting date (the “service condition”). Restricted stock vests in full on the fourth anniversary of the date of the award. Restricted stock may be voted by the holder, and holders receive dividends on the same basis as holders of outstanding common stock.</w:t>
      </w:r>
    </w:p>
    <w:p>
      <w:pPr>
        <w:spacing w:after="0" w:line="86" w:lineRule="exact"/>
        <w:rPr>
          <w:rFonts w:ascii="Arial" w:cs="Arial" w:eastAsia="Arial" w:hAnsi="Arial"/>
          <w:sz w:val="17"/>
          <w:szCs w:val="17"/>
          <w:color w:val="auto"/>
        </w:rPr>
      </w:pPr>
    </w:p>
    <w:p>
      <w:pPr>
        <w:ind w:left="440" w:right="20"/>
        <w:spacing w:after="0" w:line="273" w:lineRule="auto"/>
        <w:rPr>
          <w:rFonts w:ascii="Arial" w:cs="Arial" w:eastAsia="Arial" w:hAnsi="Arial"/>
          <w:sz w:val="17"/>
          <w:szCs w:val="17"/>
          <w:color w:val="auto"/>
        </w:rPr>
      </w:pPr>
      <w:r>
        <w:rPr>
          <w:rFonts w:ascii="Arial" w:cs="Arial" w:eastAsia="Arial" w:hAnsi="Arial"/>
          <w:sz w:val="17"/>
          <w:szCs w:val="17"/>
          <w:color w:val="auto"/>
        </w:rPr>
        <w:t>ROIC Units vest and pay out on the fourth anniversary of the date of the award. Holders must meet the service condition for vesting to occur. Awards are paid out entirely in shares. The amount paid out will range from 40% to 120% of the number of units awarded and is determined based upon our average annual return on invested capital for the performance period consisting of the years 2021, 2022, 2023 and 2024 compared to a peer group of companies in our industry and related industries. Dividend equivalents are paid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80"/>
          </w:cols>
          <w:pgMar w:left="500" w:top="268" w:right="519" w:bottom="1440" w:gutter="0" w:footer="0" w:header="0"/>
        </w:sectPr>
      </w:pPr>
    </w:p>
    <w:bookmarkStart w:id="34" w:name="page35"/>
    <w:bookmarkEnd w:id="34"/>
    <w:p>
      <w:pPr>
        <w:ind w:left="433"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out on the vesting date in cash or, if the committee so elects, a number of shares equal in value to the cumulative dividends actually paid on the number of shares that pay out. The grant date fair value is based upon the probable outcome of the performance conditions, which was 100%. The grant date fair values of the awards at a maximum payout of 120% are $2,698,256, $1,866,408, $708,296, $584,745, and $454,624 for Mr. Kowlzan, Mr. Hassfurther, Mr. Mundy, Mr. Carter and Mr. Shirley, respectively.</w:t>
      </w:r>
    </w:p>
    <w:p>
      <w:pPr>
        <w:spacing w:after="0" w:line="70" w:lineRule="exact"/>
        <w:rPr>
          <w:sz w:val="20"/>
          <w:szCs w:val="20"/>
          <w:color w:val="auto"/>
        </w:rPr>
      </w:pPr>
    </w:p>
    <w:p>
      <w:pPr>
        <w:ind w:left="433" w:right="40"/>
        <w:spacing w:after="0" w:line="286" w:lineRule="auto"/>
        <w:rPr>
          <w:sz w:val="20"/>
          <w:szCs w:val="20"/>
          <w:color w:val="auto"/>
        </w:rPr>
      </w:pPr>
      <w:r>
        <w:rPr>
          <w:rFonts w:ascii="Arial" w:cs="Arial" w:eastAsia="Arial" w:hAnsi="Arial"/>
          <w:sz w:val="16"/>
          <w:szCs w:val="16"/>
          <w:color w:val="auto"/>
        </w:rPr>
        <w:t>TSR Units vest and pay out after the end of the three-year performance period (March 1, 2021 to February 29, 2024). Holders must meet the service condition for vesting to occur. Awards are paid out entirely in shares. The amount paid out will range from 0% to 200% of the number of units awarded and is determined based upon our total stockholder return for the performance period compared to a peer group of companies in our industry and related industries. Dividend equivalents are paid out on the vesting date in cash or, if the committee so elects, a number of shares equal in value to the cumulative dividends actually paid on the number of shares that pay out. The grant date fair value is based upon a Monte Carlo simulation as provided by FASB ASC Topic 718. The grant date fair values of the awards at a maximum payout of 200% are $4,497,249, $3,110,767, $1,180,539, $974,300 and $757,690 for Mr. Kowlzan, Mr. Hassfurther, Mr. Mundy, Mr. Carter and Mr. Shirley respectively.</w:t>
      </w:r>
    </w:p>
    <w:p>
      <w:pPr>
        <w:spacing w:after="0" w:line="378"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Outstanding Equity Awards Held by the Named Executive Officers at December 31, 2021</w:t>
      </w:r>
    </w:p>
    <w:p>
      <w:pPr>
        <w:spacing w:after="0" w:line="242" w:lineRule="exact"/>
        <w:rPr>
          <w:sz w:val="20"/>
          <w:szCs w:val="20"/>
          <w:color w:val="auto"/>
        </w:rPr>
      </w:pPr>
    </w:p>
    <w:tbl>
      <w:tblPr>
        <w:tblLayout w:type="fixed"/>
        <w:tblInd w:w="433"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487"/>
              <w:spacing w:after="0"/>
              <w:rPr>
                <w:sz w:val="20"/>
                <w:szCs w:val="20"/>
                <w:color w:val="auto"/>
              </w:rPr>
            </w:pPr>
            <w:r>
              <w:rPr>
                <w:rFonts w:ascii="Arial" w:cs="Arial" w:eastAsia="Arial" w:hAnsi="Arial"/>
                <w:sz w:val="14"/>
                <w:szCs w:val="14"/>
                <w:b w:val="1"/>
                <w:bCs w:val="1"/>
                <w:color w:val="auto"/>
                <w:w w:val="89"/>
              </w:rPr>
              <w:t>Stock Awards(1)</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60" w:type="dxa"/>
            <w:vAlign w:val="bottom"/>
            <w:gridSpan w:val="2"/>
            <w:vMerge w:val="restart"/>
          </w:tcPr>
          <w:p>
            <w:pPr>
              <w:jc w:val="center"/>
              <w:ind w:left="439"/>
              <w:spacing w:after="0"/>
              <w:rPr>
                <w:sz w:val="20"/>
                <w:szCs w:val="20"/>
                <w:color w:val="auto"/>
              </w:rPr>
            </w:pPr>
            <w:r>
              <w:rPr>
                <w:rFonts w:ascii="Arial" w:cs="Arial" w:eastAsia="Arial" w:hAnsi="Arial"/>
                <w:sz w:val="14"/>
                <w:szCs w:val="14"/>
                <w:b w:val="1"/>
                <w:bCs w:val="1"/>
                <w:color w:val="auto"/>
                <w:w w:val="93"/>
              </w:rPr>
              <w:t>Equity Incentive</w:t>
            </w:r>
          </w:p>
        </w:tc>
        <w:tc>
          <w:tcPr>
            <w:tcW w:w="1560" w:type="dxa"/>
            <w:vAlign w:val="bottom"/>
            <w:gridSpan w:val="2"/>
          </w:tcPr>
          <w:p>
            <w:pPr>
              <w:jc w:val="center"/>
              <w:ind w:left="438"/>
              <w:spacing w:after="0" w:line="118" w:lineRule="exact"/>
              <w:rPr>
                <w:sz w:val="20"/>
                <w:szCs w:val="20"/>
                <w:color w:val="auto"/>
              </w:rPr>
            </w:pPr>
            <w:r>
              <w:rPr>
                <w:rFonts w:ascii="Arial" w:cs="Arial" w:eastAsia="Arial" w:hAnsi="Arial"/>
                <w:sz w:val="13"/>
                <w:szCs w:val="13"/>
                <w:b w:val="1"/>
                <w:bCs w:val="1"/>
                <w:color w:val="auto"/>
              </w:rPr>
              <w:t>Equity Incentive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Plan Awards:</w:t>
            </w:r>
          </w:p>
        </w:tc>
        <w:tc>
          <w:tcPr>
            <w:tcW w:w="5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54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of Shares,</w:t>
            </w:r>
          </w:p>
        </w:tc>
        <w:tc>
          <w:tcPr>
            <w:tcW w:w="5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Unearned</w:t>
            </w:r>
          </w:p>
        </w:tc>
        <w:tc>
          <w:tcPr>
            <w:tcW w:w="5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or Units</w:t>
            </w:r>
          </w:p>
        </w:tc>
        <w:tc>
          <w:tcPr>
            <w:tcW w:w="54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Shares or</w:t>
            </w:r>
          </w:p>
        </w:tc>
        <w:tc>
          <w:tcPr>
            <w:tcW w:w="54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Shares, Units,</w:t>
            </w:r>
          </w:p>
        </w:tc>
        <w:tc>
          <w:tcPr>
            <w:tcW w:w="5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9"/>
              </w:rPr>
              <w:t>Shares, Units,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 Stock</w:t>
            </w:r>
          </w:p>
        </w:tc>
        <w:tc>
          <w:tcPr>
            <w:tcW w:w="54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Units of</w:t>
            </w:r>
          </w:p>
        </w:tc>
        <w:tc>
          <w:tcPr>
            <w:tcW w:w="54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or Other Rights</w:t>
            </w:r>
          </w:p>
        </w:tc>
        <w:tc>
          <w:tcPr>
            <w:tcW w:w="5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or Other Rights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That Have</w:t>
            </w:r>
          </w:p>
        </w:tc>
        <w:tc>
          <w:tcPr>
            <w:tcW w:w="54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Stock That</w:t>
            </w:r>
          </w:p>
        </w:tc>
        <w:tc>
          <w:tcPr>
            <w:tcW w:w="54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540" w:type="dxa"/>
            <w:vAlign w:val="bottom"/>
          </w:tcPr>
          <w:p>
            <w:pPr>
              <w:spacing w:after="0"/>
              <w:rPr>
                <w:sz w:val="12"/>
                <w:szCs w:val="12"/>
                <w:color w:val="auto"/>
              </w:rPr>
            </w:pPr>
          </w:p>
        </w:tc>
        <w:tc>
          <w:tcPr>
            <w:tcW w:w="106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47"/>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Not Vested</w:t>
            </w:r>
          </w:p>
        </w:tc>
        <w:tc>
          <w:tcPr>
            <w:tcW w:w="54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Have Not</w:t>
            </w:r>
          </w:p>
        </w:tc>
        <w:tc>
          <w:tcPr>
            <w:tcW w:w="54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Vested</w:t>
            </w:r>
          </w:p>
        </w:tc>
        <w:tc>
          <w:tcPr>
            <w:tcW w:w="540" w:type="dxa"/>
            <w:vAlign w:val="bottom"/>
          </w:tcPr>
          <w:p>
            <w:pPr>
              <w:spacing w:after="0"/>
              <w:rPr>
                <w:sz w:val="12"/>
                <w:szCs w:val="12"/>
                <w:color w:val="auto"/>
              </w:rPr>
            </w:pPr>
          </w:p>
        </w:tc>
        <w:tc>
          <w:tcPr>
            <w:tcW w:w="10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6"/>
        </w:trPr>
        <w:tc>
          <w:tcPr>
            <w:tcW w:w="3200" w:type="dxa"/>
            <w:vAlign w:val="bottom"/>
            <w:gridSpan w:val="3"/>
            <w:vMerge w:val="continue"/>
          </w:tcPr>
          <w:p>
            <w:pPr>
              <w:spacing w:after="0"/>
              <w:rPr>
                <w:sz w:val="13"/>
                <w:szCs w:val="13"/>
                <w:color w:val="auto"/>
              </w:rPr>
            </w:pPr>
          </w:p>
        </w:tc>
        <w:tc>
          <w:tcPr>
            <w:tcW w:w="2200" w:type="dxa"/>
            <w:vAlign w:val="bottom"/>
            <w:gridSpan w:val="2"/>
          </w:tcPr>
          <w:p>
            <w:pPr>
              <w:jc w:val="center"/>
              <w:ind w:left="1439"/>
              <w:spacing w:after="0" w:line="156" w:lineRule="exact"/>
              <w:rPr>
                <w:sz w:val="20"/>
                <w:szCs w:val="20"/>
                <w:color w:val="auto"/>
              </w:rPr>
            </w:pPr>
            <w:r>
              <w:rPr>
                <w:rFonts w:ascii="Arial" w:cs="Arial" w:eastAsia="Arial" w:hAnsi="Arial"/>
                <w:sz w:val="14"/>
                <w:szCs w:val="14"/>
                <w:b w:val="1"/>
                <w:bCs w:val="1"/>
                <w:color w:val="auto"/>
                <w:w w:val="93"/>
              </w:rPr>
              <w:t>(1)</w:t>
            </w:r>
          </w:p>
        </w:tc>
        <w:tc>
          <w:tcPr>
            <w:tcW w:w="54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8"/>
              </w:rPr>
              <w:t>Vested(2)</w:t>
            </w:r>
          </w:p>
        </w:tc>
        <w:tc>
          <w:tcPr>
            <w:tcW w:w="1560" w:type="dxa"/>
            <w:vAlign w:val="bottom"/>
            <w:gridSpan w:val="2"/>
          </w:tcPr>
          <w:p>
            <w:pPr>
              <w:jc w:val="center"/>
              <w:ind w:left="459"/>
              <w:spacing w:after="0" w:line="156" w:lineRule="exact"/>
              <w:rPr>
                <w:sz w:val="20"/>
                <w:szCs w:val="20"/>
                <w:color w:val="auto"/>
              </w:rPr>
            </w:pPr>
            <w:r>
              <w:rPr>
                <w:rFonts w:ascii="Arial" w:cs="Arial" w:eastAsia="Arial" w:hAnsi="Arial"/>
                <w:sz w:val="14"/>
                <w:szCs w:val="14"/>
                <w:b w:val="1"/>
                <w:bCs w:val="1"/>
                <w:color w:val="auto"/>
                <w:w w:val="97"/>
              </w:rPr>
              <w:t>(#)(2)(3)</w:t>
            </w:r>
          </w:p>
        </w:tc>
        <w:tc>
          <w:tcPr>
            <w:tcW w:w="1560" w:type="dxa"/>
            <w:vAlign w:val="bottom"/>
            <w:gridSpan w:val="2"/>
          </w:tcPr>
          <w:p>
            <w:pPr>
              <w:jc w:val="center"/>
              <w:ind w:left="438"/>
              <w:spacing w:after="0" w:line="156" w:lineRule="exact"/>
              <w:rPr>
                <w:sz w:val="20"/>
                <w:szCs w:val="20"/>
                <w:color w:val="auto"/>
              </w:rPr>
            </w:pPr>
            <w:r>
              <w:rPr>
                <w:rFonts w:ascii="Arial" w:cs="Arial" w:eastAsia="Arial" w:hAnsi="Arial"/>
                <w:sz w:val="14"/>
                <w:szCs w:val="14"/>
                <w:b w:val="1"/>
                <w:bCs w:val="1"/>
                <w:color w:val="auto"/>
                <w:w w:val="94"/>
              </w:rPr>
              <w:t>($) (2)(3)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1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Mark W. Kowlzan</w:t>
            </w:r>
          </w:p>
        </w:tc>
        <w:tc>
          <w:tcPr>
            <w:tcW w:w="1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90,750</w:t>
            </w: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87"/>
              </w:rPr>
              <w:t>$12,355,613</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107,318</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88"/>
              </w:rPr>
              <w:t>$  14,611,346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Thomas A. Hassfurther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62,771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8,546,272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74,232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10,106,687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Mundy</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3,025,661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28,170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3,835,346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Charles J. Carter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19,665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2,677,390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23,254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3,166,032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R. Shirley</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1,696,974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2,461,728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531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54" w:lineRule="exact"/>
        <w:rPr>
          <w:sz w:val="20"/>
          <w:szCs w:val="20"/>
          <w:color w:val="auto"/>
        </w:rPr>
      </w:pPr>
    </w:p>
    <w:p>
      <w:pPr>
        <w:ind w:left="433" w:hanging="433"/>
        <w:spacing w:after="0" w:line="285" w:lineRule="auto"/>
        <w:tabs>
          <w:tab w:leader="none" w:pos="43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table shows the year in which the restricted stock or restricted stock units held by the named executive officers will vest. The 2022 column includes shares earned by the named executive officers under ROIC Units for the 2019-2021 performance period that remain subject to continued service through June 26, 2022 as follows: Mr. Kowlzan: 17,449 shares; Mr. Hassfurther: 12,069 shares; Mr. Mundy, 3,781 shares; and Mr. Carter, 3,781 shares. The company will pay dividend equivalents equal to the value of dividends paid on such shares that actually vest. At the election of the committee, such dividend equivalents may be paid in cash or in shares. The value of accrued dividend equivalents on such shares as of December 31, 2021 is $211,307, $146,156, $45,788 and $45,788 for Mr. Kowlzan, Mr. Hassfurther, Mr. Mundy and Mr. Carter, respectively. If we paid such dividend equivalents out in shares, on December 31, 2021, the number of shares paid out would be 1,552, 1,073, 336, and 336 for Mr. Kowlzan, Mr. Hassfurther, Mr. Mundy and Mr. Carter, respectively. Such shares are not reflected in the table.</w:t>
      </w:r>
    </w:p>
    <w:p>
      <w:pPr>
        <w:spacing w:after="0" w:line="188" w:lineRule="exact"/>
        <w:rPr>
          <w:sz w:val="20"/>
          <w:szCs w:val="20"/>
          <w:color w:val="auto"/>
        </w:rPr>
      </w:pPr>
    </w:p>
    <w:tbl>
      <w:tblPr>
        <w:tblLayout w:type="fixed"/>
        <w:tblInd w:w="433" w:type="dxa"/>
        <w:tblCellMar>
          <w:top w:w="0" w:type="dxa"/>
          <w:left w:w="0" w:type="dxa"/>
          <w:bottom w:w="0" w:type="dxa"/>
          <w:right w:w="0" w:type="dxa"/>
        </w:tblCellMar>
      </w:tblPr>
      <w:tr>
        <w:trPr>
          <w:trHeight w:val="169"/>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94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Mark W. Kowlzan</w:t>
            </w:r>
          </w:p>
        </w:tc>
        <w:tc>
          <w:tcPr>
            <w:tcW w:w="3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34,898</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19,303</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19,711</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16,838</w:t>
            </w:r>
          </w:p>
        </w:tc>
        <w:tc>
          <w:tcPr>
            <w:tcW w:w="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Thomas A. Hassfurther</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24,138</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13,352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13,634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11,647</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Mundy</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Charles J. Carter</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7,562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3,649</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R. Shirley</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80" w:type="dxa"/>
            <w:vAlign w:val="bottom"/>
            <w:shd w:val="clear" w:color="auto" w:fill="CCEEFF"/>
          </w:tcPr>
          <w:p>
            <w:pPr>
              <w:spacing w:after="0"/>
              <w:rPr>
                <w:sz w:val="18"/>
                <w:szCs w:val="18"/>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00" w:type="dxa"/>
            <w:vAlign w:val="bottom"/>
          </w:tcPr>
          <w:p>
            <w:pPr>
              <w:jc w:val="right"/>
              <w:ind w:right="1414"/>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873"/>
          </w:cols>
          <w:pgMar w:left="507" w:top="274" w:right="519" w:bottom="1440" w:gutter="0" w:footer="0" w:header="0"/>
        </w:sectPr>
      </w:pPr>
    </w:p>
    <w:bookmarkStart w:id="35" w:name="page36"/>
    <w:bookmarkEnd w:id="35"/>
    <w:p>
      <w:pPr>
        <w:ind w:left="440" w:right="260" w:hanging="433"/>
        <w:spacing w:after="0" w:line="252"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closing market price of our common stock on December 31, 2021, the last trading day of the year, was $136.15 per share. In all cases, the value includes the value of accrued dividend equivalents, determined as of December 31, 2021 on shares that have dividend equivalent rights, which include the earned shares pursuant to performance units vesting in 2022 described in Note 1 above and all shares that may be paid out pursuant to performance units described in Note 3 below. At the election of the committee, such dividend equivalents may be paid in cash or in shares.</w:t>
      </w:r>
    </w:p>
    <w:p>
      <w:pPr>
        <w:spacing w:after="0" w:line="219" w:lineRule="exact"/>
        <w:rPr>
          <w:rFonts w:ascii="Arial" w:cs="Arial" w:eastAsia="Arial" w:hAnsi="Arial"/>
          <w:sz w:val="18"/>
          <w:szCs w:val="18"/>
          <w:color w:val="auto"/>
        </w:rPr>
      </w:pPr>
    </w:p>
    <w:p>
      <w:pPr>
        <w:ind w:left="440" w:hanging="433"/>
        <w:spacing w:after="0" w:line="280"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unearned shares identified in this column relate to potential future payouts pursuant to ROIC Units and TSR Units awarded in 2019, 2020 and 2021. ROIC Units vest and pay out on or around the fourth anniversary of the date of the award. TSR Units vest and pay out on or around the third anniversary of the date of the award. As the performance periods have not completed, all shares are presented at the target level of performance, representing payout at the 100% level. For all units, dividend equivalents will be only paid to the extent the shares actually vest, and, at the election of the committee, will be paid in cash or shares at the time of vesting. The amount of total dividend equivalents accrued on the number of shares presented in the table through December 31, 2021 is: $742,840, $513,822, $194,987, $160,962 and $125,123 for Mr. Kowlzan,</w:t>
      </w:r>
    </w:p>
    <w:p>
      <w:pPr>
        <w:spacing w:after="0" w:line="2" w:lineRule="exact"/>
        <w:rPr>
          <w:rFonts w:ascii="Arial" w:cs="Arial" w:eastAsia="Arial" w:hAnsi="Arial"/>
          <w:sz w:val="16"/>
          <w:szCs w:val="16"/>
          <w:color w:val="auto"/>
        </w:rPr>
      </w:pPr>
    </w:p>
    <w:p>
      <w:pPr>
        <w:ind w:left="440" w:right="160"/>
        <w:spacing w:after="0" w:line="278" w:lineRule="auto"/>
        <w:rPr>
          <w:rFonts w:ascii="Arial" w:cs="Arial" w:eastAsia="Arial" w:hAnsi="Arial"/>
          <w:sz w:val="16"/>
          <w:szCs w:val="16"/>
          <w:color w:val="auto"/>
        </w:rPr>
      </w:pPr>
      <w:r>
        <w:rPr>
          <w:rFonts w:ascii="Arial" w:cs="Arial" w:eastAsia="Arial" w:hAnsi="Arial"/>
          <w:sz w:val="16"/>
          <w:szCs w:val="16"/>
          <w:color w:val="auto"/>
        </w:rPr>
        <w:t>Mr. Hassfurther, Mr. Mundy, Mr. Carter and Mr. Shirley, respectively. If we paid such dividend equivalents out in shares on December 31, 2021, the number of shares paid out would be 5,456, 3,774, 1,432, 1,182 and 919 for Mr. Kowlzan, Mr. Hassfurther, Mr. Mundy, Mr. Carter and</w:t>
      </w:r>
    </w:p>
    <w:p>
      <w:pPr>
        <w:ind w:left="440"/>
        <w:spacing w:after="0"/>
        <w:rPr>
          <w:rFonts w:ascii="Arial" w:cs="Arial" w:eastAsia="Arial" w:hAnsi="Arial"/>
          <w:sz w:val="16"/>
          <w:szCs w:val="16"/>
          <w:color w:val="auto"/>
        </w:rPr>
      </w:pPr>
      <w:r>
        <w:rPr>
          <w:rFonts w:ascii="Arial" w:cs="Arial" w:eastAsia="Arial" w:hAnsi="Arial"/>
          <w:sz w:val="18"/>
          <w:szCs w:val="18"/>
          <w:color w:val="auto"/>
        </w:rPr>
        <w:t>Mr. Shirley, respectively. Such shares are not reflected in the table.</w:t>
      </w: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TSR</w:t>
            </w:r>
          </w:p>
        </w:tc>
        <w:tc>
          <w:tcPr>
            <w:tcW w:w="260" w:type="dxa"/>
            <w:vAlign w:val="bottom"/>
          </w:tcPr>
          <w:p>
            <w:pPr>
              <w:spacing w:after="0"/>
              <w:rPr>
                <w:sz w:val="10"/>
                <w:szCs w:val="10"/>
                <w:color w:val="auto"/>
              </w:rPr>
            </w:pPr>
          </w:p>
        </w:tc>
        <w:tc>
          <w:tcPr>
            <w:tcW w:w="940" w:type="dxa"/>
            <w:vAlign w:val="bottom"/>
            <w:gridSpan w:val="3"/>
          </w:tcPr>
          <w:p>
            <w:pPr>
              <w:jc w:val="center"/>
              <w:ind w:right="340"/>
              <w:spacing w:after="0" w:line="118" w:lineRule="exact"/>
              <w:rPr>
                <w:sz w:val="20"/>
                <w:szCs w:val="20"/>
                <w:color w:val="auto"/>
              </w:rPr>
            </w:pPr>
            <w:r>
              <w:rPr>
                <w:rFonts w:ascii="Arial" w:cs="Arial" w:eastAsia="Arial" w:hAnsi="Arial"/>
                <w:sz w:val="13"/>
                <w:szCs w:val="13"/>
                <w:b w:val="1"/>
                <w:bCs w:val="1"/>
                <w:color w:val="auto"/>
              </w:rPr>
              <w:t>ROIC</w:t>
            </w:r>
          </w:p>
        </w:tc>
        <w:tc>
          <w:tcPr>
            <w:tcW w:w="5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TSR</w:t>
            </w:r>
          </w:p>
        </w:tc>
        <w:tc>
          <w:tcPr>
            <w:tcW w:w="240" w:type="dxa"/>
            <w:vAlign w:val="bottom"/>
          </w:tcPr>
          <w:p>
            <w:pPr>
              <w:spacing w:after="0"/>
              <w:rPr>
                <w:sz w:val="10"/>
                <w:szCs w:val="10"/>
                <w:color w:val="auto"/>
              </w:rPr>
            </w:pPr>
          </w:p>
        </w:tc>
        <w:tc>
          <w:tcPr>
            <w:tcW w:w="980" w:type="dxa"/>
            <w:vAlign w:val="bottom"/>
            <w:gridSpan w:val="3"/>
          </w:tcPr>
          <w:p>
            <w:pPr>
              <w:jc w:val="center"/>
              <w:ind w:right="340"/>
              <w:spacing w:after="0" w:line="118" w:lineRule="exact"/>
              <w:rPr>
                <w:sz w:val="20"/>
                <w:szCs w:val="20"/>
                <w:color w:val="auto"/>
              </w:rPr>
            </w:pPr>
            <w:r>
              <w:rPr>
                <w:rFonts w:ascii="Arial" w:cs="Arial" w:eastAsia="Arial" w:hAnsi="Arial"/>
                <w:sz w:val="13"/>
                <w:szCs w:val="13"/>
                <w:b w:val="1"/>
                <w:bCs w:val="1"/>
                <w:color w:val="auto"/>
              </w:rPr>
              <w:t>ROIC</w:t>
            </w:r>
          </w:p>
        </w:tc>
        <w:tc>
          <w:tcPr>
            <w:tcW w:w="580" w:type="dxa"/>
            <w:vAlign w:val="bottom"/>
          </w:tcPr>
          <w:p>
            <w:pPr>
              <w:jc w:val="center"/>
              <w:ind w:right="17"/>
              <w:spacing w:after="0" w:line="118" w:lineRule="exact"/>
              <w:rPr>
                <w:sz w:val="20"/>
                <w:szCs w:val="20"/>
                <w:color w:val="auto"/>
              </w:rPr>
            </w:pPr>
            <w:r>
              <w:rPr>
                <w:rFonts w:ascii="Arial" w:cs="Arial" w:eastAsia="Arial" w:hAnsi="Arial"/>
                <w:sz w:val="13"/>
                <w:szCs w:val="13"/>
                <w:b w:val="1"/>
                <w:bCs w:val="1"/>
                <w:color w:val="auto"/>
              </w:rPr>
              <w:t>TSR</w:t>
            </w:r>
          </w:p>
        </w:tc>
        <w:tc>
          <w:tcPr>
            <w:tcW w:w="24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ROIC</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20" w:type="dxa"/>
            <w:vAlign w:val="bottom"/>
            <w:gridSpan w:val="3"/>
            <w:vMerge w:val="continue"/>
          </w:tcPr>
          <w:p>
            <w:pPr>
              <w:spacing w:after="0"/>
              <w:rPr>
                <w:sz w:val="13"/>
                <w:szCs w:val="13"/>
                <w:color w:val="auto"/>
              </w:rPr>
            </w:pPr>
          </w:p>
        </w:tc>
        <w:tc>
          <w:tcPr>
            <w:tcW w:w="8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1"/>
              </w:rPr>
              <w:t>Units</w:t>
            </w:r>
          </w:p>
        </w:tc>
        <w:tc>
          <w:tcPr>
            <w:tcW w:w="940" w:type="dxa"/>
            <w:vAlign w:val="bottom"/>
            <w:gridSpan w:val="3"/>
          </w:tcPr>
          <w:p>
            <w:pPr>
              <w:jc w:val="center"/>
              <w:ind w:right="340"/>
              <w:spacing w:after="0" w:line="156" w:lineRule="exact"/>
              <w:rPr>
                <w:sz w:val="20"/>
                <w:szCs w:val="20"/>
                <w:color w:val="auto"/>
              </w:rPr>
            </w:pPr>
            <w:r>
              <w:rPr>
                <w:rFonts w:ascii="Arial" w:cs="Arial" w:eastAsia="Arial" w:hAnsi="Arial"/>
                <w:sz w:val="14"/>
                <w:szCs w:val="14"/>
                <w:b w:val="1"/>
                <w:bCs w:val="1"/>
                <w:color w:val="auto"/>
                <w:w w:val="91"/>
              </w:rPr>
              <w:t>Units</w:t>
            </w:r>
          </w:p>
        </w:tc>
        <w:tc>
          <w:tcPr>
            <w:tcW w:w="8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91"/>
              </w:rPr>
              <w:t>Units</w:t>
            </w:r>
          </w:p>
        </w:tc>
        <w:tc>
          <w:tcPr>
            <w:tcW w:w="980" w:type="dxa"/>
            <w:vAlign w:val="bottom"/>
            <w:gridSpan w:val="3"/>
          </w:tcPr>
          <w:p>
            <w:pPr>
              <w:jc w:val="center"/>
              <w:ind w:right="340"/>
              <w:spacing w:after="0" w:line="156" w:lineRule="exact"/>
              <w:rPr>
                <w:sz w:val="20"/>
                <w:szCs w:val="20"/>
                <w:color w:val="auto"/>
              </w:rPr>
            </w:pPr>
            <w:r>
              <w:rPr>
                <w:rFonts w:ascii="Arial" w:cs="Arial" w:eastAsia="Arial" w:hAnsi="Arial"/>
                <w:sz w:val="14"/>
                <w:szCs w:val="14"/>
                <w:b w:val="1"/>
                <w:bCs w:val="1"/>
                <w:color w:val="auto"/>
                <w:w w:val="91"/>
              </w:rPr>
              <w:t>Units</w:t>
            </w:r>
          </w:p>
        </w:tc>
        <w:tc>
          <w:tcPr>
            <w:tcW w:w="8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w w:val="91"/>
              </w:rPr>
              <w:t>Units</w:t>
            </w:r>
          </w:p>
        </w:tc>
        <w:tc>
          <w:tcPr>
            <w:tcW w:w="76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Mark W. Kowlzan</w:t>
            </w:r>
          </w:p>
        </w:tc>
        <w:tc>
          <w:tcPr>
            <w:tcW w:w="6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18,543</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19,303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4"/>
              </w:rPr>
              <w:t>17,746</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19,711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8"/>
              </w:rPr>
              <w:t>15,177</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16,838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Thomas A. Hassfurther</w:t>
            </w:r>
          </w:p>
        </w:tc>
        <w:tc>
          <w:tcPr>
            <w:tcW w:w="620" w:type="dxa"/>
            <w:vAlign w:val="bottom"/>
          </w:tcPr>
          <w:p>
            <w:pPr>
              <w:jc w:val="right"/>
              <w:spacing w:after="0"/>
              <w:rPr>
                <w:sz w:val="20"/>
                <w:szCs w:val="20"/>
                <w:color w:val="auto"/>
              </w:rPr>
            </w:pPr>
            <w:r>
              <w:rPr>
                <w:rFonts w:ascii="Arial" w:cs="Arial" w:eastAsia="Arial" w:hAnsi="Arial"/>
                <w:sz w:val="18"/>
                <w:szCs w:val="18"/>
                <w:color w:val="auto"/>
              </w:rPr>
              <w:t>12,826</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13,352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12,275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13,634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10,498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Mundy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Charles J. Carter</w:t>
            </w:r>
          </w:p>
        </w:tc>
        <w:tc>
          <w:tcPr>
            <w:tcW w:w="620" w:type="dxa"/>
            <w:vAlign w:val="bottom"/>
          </w:tcPr>
          <w:p>
            <w:pPr>
              <w:jc w:val="right"/>
              <w:spacing w:after="0"/>
              <w:rPr>
                <w:sz w:val="20"/>
                <w:szCs w:val="20"/>
                <w:color w:val="auto"/>
              </w:rPr>
            </w:pPr>
            <w:r>
              <w:rPr>
                <w:rFonts w:ascii="Arial" w:cs="Arial" w:eastAsia="Arial" w:hAnsi="Arial"/>
                <w:sz w:val="18"/>
                <w:szCs w:val="18"/>
                <w:color w:val="auto"/>
              </w:rPr>
              <w:t>4,018</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3,845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R. Shirley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Stock Vested Table</w:t>
      </w:r>
    </w:p>
    <w:p>
      <w:pPr>
        <w:spacing w:after="0" w:line="242" w:lineRule="exact"/>
        <w:rPr>
          <w:sz w:val="20"/>
          <w:szCs w:val="20"/>
          <w:color w:val="auto"/>
        </w:rPr>
      </w:pPr>
    </w:p>
    <w:tbl>
      <w:tblPr>
        <w:tblLayout w:type="fixed"/>
        <w:tblInd w:w="4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1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8"/>
              </w:rPr>
              <w:t>Number of Shares</w:t>
            </w:r>
          </w:p>
        </w:tc>
        <w:tc>
          <w:tcPr>
            <w:tcW w:w="2020" w:type="dxa"/>
            <w:vAlign w:val="bottom"/>
            <w:gridSpan w:val="4"/>
            <w:vMerge w:val="restart"/>
          </w:tcPr>
          <w:p>
            <w:pPr>
              <w:ind w:left="880"/>
              <w:spacing w:after="0"/>
              <w:rPr>
                <w:sz w:val="20"/>
                <w:szCs w:val="20"/>
                <w:color w:val="auto"/>
              </w:rPr>
            </w:pPr>
            <w:r>
              <w:rPr>
                <w:rFonts w:ascii="Arial" w:cs="Arial" w:eastAsia="Arial" w:hAnsi="Arial"/>
                <w:sz w:val="14"/>
                <w:szCs w:val="14"/>
                <w:b w:val="1"/>
                <w:bCs w:val="1"/>
                <w:color w:val="auto"/>
                <w:w w:val="94"/>
              </w:rPr>
              <w:t>Value Realized 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Acquired on</w:t>
            </w:r>
          </w:p>
        </w:tc>
        <w:tc>
          <w:tcPr>
            <w:tcW w:w="2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Vesting (#)</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Mark W. Kowlzan</w:t>
            </w:r>
          </w:p>
        </w:tc>
        <w:tc>
          <w:tcPr>
            <w:tcW w:w="2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58,130</w:t>
            </w:r>
          </w:p>
        </w:tc>
        <w:tc>
          <w:tcPr>
            <w:tcW w:w="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7,839,841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Thomas A. Hassfurther</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37,765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5,092,128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Robert P. Mundy</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Charles J. Carter</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12,116</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1,633,704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Donald R. Shirley</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Restricted stock and restricted stock units held by each of the officers vested on June 21, 2021. The amounts indicated in the table include, in addition to vests of restricted stock on June 21, 2021: (a) shares earned by the named executive officers under ROIC units for the 2018-2020 performance period and dividend equivalents thereon paid out in shares, which remained subject to a service condition through June 21, 2021; and (b) shares earned by the named executive officers under TSR units for the July 1, 2018 to June 30, 2021 performance period, which were paid out on July 20, 2021. The closing price of PCA’s common stock on the New York Stock Exchange on June 21, 2021, the first trading day after the vesting date, was $135.33 and on July 20, 2021, the payout date for the TSR unit shares was $132.58. The amounts in the “Value Realized on Vesting” column include the value of fractional shares paid out in cash for dividend equivalents.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60"/>
          </w:cols>
          <w:pgMar w:left="500" w:top="274" w:right="5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Pension Benefits as of December 31, 2021</w:t>
      </w:r>
    </w:p>
    <w:p>
      <w:pPr>
        <w:spacing w:after="0" w:line="225" w:lineRule="exact"/>
        <w:rPr>
          <w:sz w:val="20"/>
          <w:szCs w:val="20"/>
          <w:color w:val="auto"/>
        </w:rPr>
      </w:pPr>
    </w:p>
    <w:p>
      <w:pPr>
        <w:ind w:firstLine="435"/>
        <w:spacing w:after="0" w:line="267" w:lineRule="auto"/>
        <w:rPr>
          <w:sz w:val="20"/>
          <w:szCs w:val="20"/>
          <w:color w:val="auto"/>
        </w:rPr>
      </w:pPr>
      <w:r>
        <w:rPr>
          <w:rFonts w:ascii="Arial" w:cs="Arial" w:eastAsia="Arial" w:hAnsi="Arial"/>
          <w:sz w:val="18"/>
          <w:szCs w:val="18"/>
          <w:color w:val="auto"/>
        </w:rPr>
        <w:t>Mr. Kowlzan, Mr. Hassfurther and Mr. Shirley participate in our defined benefit pension plans. Mr. Mundy and Mr. Carter do not participate in our defined benefit pension plans, as they joined PCA after April 12, 1999.</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Years</w:t>
            </w:r>
          </w:p>
        </w:tc>
        <w:tc>
          <w:tcPr>
            <w:tcW w:w="7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Present Value</w:t>
            </w:r>
          </w:p>
        </w:tc>
        <w:tc>
          <w:tcPr>
            <w:tcW w:w="1880" w:type="dxa"/>
            <w:vAlign w:val="bottom"/>
            <w:gridSpan w:val="3"/>
          </w:tcPr>
          <w:p>
            <w:pPr>
              <w:jc w:val="center"/>
              <w:ind w:left="629"/>
              <w:spacing w:after="0"/>
              <w:rPr>
                <w:sz w:val="20"/>
                <w:szCs w:val="20"/>
                <w:color w:val="auto"/>
              </w:rPr>
            </w:pPr>
            <w:r>
              <w:rPr>
                <w:rFonts w:ascii="Arial" w:cs="Arial" w:eastAsia="Arial" w:hAnsi="Arial"/>
                <w:sz w:val="14"/>
                <w:szCs w:val="14"/>
                <w:b w:val="1"/>
                <w:bCs w:val="1"/>
                <w:color w:val="auto"/>
                <w:w w:val="92"/>
              </w:rPr>
              <w:t>Payments During</w:t>
            </w:r>
          </w:p>
        </w:tc>
        <w:tc>
          <w:tcPr>
            <w:tcW w:w="0" w:type="dxa"/>
            <w:vAlign w:val="bottom"/>
          </w:tcPr>
          <w:p>
            <w:pPr>
              <w:spacing w:after="0"/>
              <w:rPr>
                <w:sz w:val="1"/>
                <w:szCs w:val="1"/>
                <w:color w:val="auto"/>
              </w:rPr>
            </w:pPr>
          </w:p>
        </w:tc>
      </w:tr>
      <w:tr>
        <w:trPr>
          <w:trHeight w:val="147"/>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Plan Name(1)</w:t>
            </w:r>
          </w:p>
        </w:tc>
        <w:tc>
          <w:tcPr>
            <w:tcW w:w="740" w:type="dxa"/>
            <w:vAlign w:val="bottom"/>
          </w:tcPr>
          <w:p>
            <w:pPr>
              <w:spacing w:after="0"/>
              <w:rPr>
                <w:sz w:val="12"/>
                <w:szCs w:val="12"/>
                <w:color w:val="auto"/>
              </w:rPr>
            </w:pPr>
          </w:p>
        </w:tc>
        <w:tc>
          <w:tcPr>
            <w:tcW w:w="10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0"/>
              </w:rPr>
              <w:t>Credited Service</w:t>
            </w:r>
          </w:p>
        </w:tc>
        <w:tc>
          <w:tcPr>
            <w:tcW w:w="1700" w:type="dxa"/>
            <w:vAlign w:val="bottom"/>
            <w:gridSpan w:val="2"/>
          </w:tcPr>
          <w:p>
            <w:pPr>
              <w:jc w:val="center"/>
              <w:ind w:left="654"/>
              <w:spacing w:after="0" w:line="147" w:lineRule="exact"/>
              <w:rPr>
                <w:sz w:val="20"/>
                <w:szCs w:val="20"/>
                <w:color w:val="auto"/>
              </w:rPr>
            </w:pPr>
            <w:r>
              <w:rPr>
                <w:rFonts w:ascii="Arial" w:cs="Arial" w:eastAsia="Arial" w:hAnsi="Arial"/>
                <w:sz w:val="14"/>
                <w:szCs w:val="14"/>
                <w:b w:val="1"/>
                <w:bCs w:val="1"/>
                <w:color w:val="auto"/>
                <w:w w:val="91"/>
              </w:rPr>
              <w:t>of Accumulated</w:t>
            </w:r>
          </w:p>
        </w:tc>
        <w:tc>
          <w:tcPr>
            <w:tcW w:w="760" w:type="dxa"/>
            <w:vAlign w:val="bottom"/>
          </w:tcPr>
          <w:p>
            <w:pPr>
              <w:spacing w:after="0"/>
              <w:rPr>
                <w:sz w:val="12"/>
                <w:szCs w:val="12"/>
                <w:color w:val="auto"/>
              </w:rPr>
            </w:pPr>
          </w:p>
        </w:tc>
        <w:tc>
          <w:tcPr>
            <w:tcW w:w="112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Last Fiscal</w:t>
            </w:r>
          </w:p>
        </w:tc>
        <w:tc>
          <w:tcPr>
            <w:tcW w:w="0" w:type="dxa"/>
            <w:vAlign w:val="bottom"/>
          </w:tcPr>
          <w:p>
            <w:pPr>
              <w:spacing w:after="0"/>
              <w:rPr>
                <w:sz w:val="1"/>
                <w:szCs w:val="1"/>
                <w:color w:val="auto"/>
              </w:rPr>
            </w:pPr>
          </w:p>
        </w:tc>
      </w:tr>
      <w:tr>
        <w:trPr>
          <w:trHeight w:val="156"/>
        </w:trPr>
        <w:tc>
          <w:tcPr>
            <w:tcW w:w="2740" w:type="dxa"/>
            <w:vAlign w:val="bottom"/>
            <w:gridSpan w:val="3"/>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78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(#)(2)</w:t>
            </w:r>
          </w:p>
        </w:tc>
        <w:tc>
          <w:tcPr>
            <w:tcW w:w="74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2"/>
              </w:rPr>
              <w:t>Benefits ($)(2)</w:t>
            </w:r>
          </w:p>
        </w:tc>
        <w:tc>
          <w:tcPr>
            <w:tcW w:w="760" w:type="dxa"/>
            <w:vAlign w:val="bottom"/>
          </w:tcPr>
          <w:p>
            <w:pPr>
              <w:spacing w:after="0"/>
              <w:rPr>
                <w:sz w:val="13"/>
                <w:szCs w:val="13"/>
                <w:color w:val="auto"/>
              </w:rPr>
            </w:pPr>
          </w:p>
        </w:tc>
        <w:tc>
          <w:tcPr>
            <w:tcW w:w="1120" w:type="dxa"/>
            <w:vAlign w:val="bottom"/>
            <w:gridSpan w:val="2"/>
          </w:tcPr>
          <w:p>
            <w:pPr>
              <w:jc w:val="center"/>
              <w:ind w:right="40"/>
              <w:spacing w:after="0" w:line="156" w:lineRule="exact"/>
              <w:rPr>
                <w:sz w:val="20"/>
                <w:szCs w:val="20"/>
                <w:color w:val="auto"/>
              </w:rPr>
            </w:pPr>
            <w:r>
              <w:rPr>
                <w:rFonts w:ascii="Arial" w:cs="Arial" w:eastAsia="Arial" w:hAnsi="Arial"/>
                <w:sz w:val="14"/>
                <w:szCs w:val="14"/>
                <w:b w:val="1"/>
                <w:bCs w:val="1"/>
                <w:color w:val="auto"/>
                <w:w w:val="93"/>
              </w:rPr>
              <w:t>Year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Mark W. Kowlzan</w:t>
            </w:r>
          </w:p>
        </w:tc>
        <w:tc>
          <w:tcPr>
            <w:tcW w:w="10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Plan 1</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22.71</w:t>
            </w: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1,324,576</w:t>
            </w:r>
          </w:p>
        </w:tc>
        <w:tc>
          <w:tcPr>
            <w:tcW w:w="760" w:type="dxa"/>
            <w:vAlign w:val="bottom"/>
            <w:shd w:val="clear" w:color="auto" w:fill="CCEEFF"/>
          </w:tcPr>
          <w:p>
            <w:pPr>
              <w:spacing w:after="0"/>
              <w:rPr>
                <w:sz w:val="17"/>
                <w:szCs w:val="17"/>
                <w:color w:val="auto"/>
              </w:rPr>
            </w:pPr>
          </w:p>
        </w:tc>
        <w:tc>
          <w:tcPr>
            <w:tcW w:w="1080" w:type="dxa"/>
            <w:vAlign w:val="bottom"/>
            <w:shd w:val="clear" w:color="auto" w:fill="CCEEFF"/>
          </w:tcPr>
          <w:p>
            <w:pPr>
              <w:ind w:left="80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Plan 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22.71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9,316,962</w:t>
            </w:r>
          </w:p>
        </w:tc>
        <w:tc>
          <w:tcPr>
            <w:tcW w:w="76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Hassfurther</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Plan 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1,255,523</w:t>
            </w:r>
          </w:p>
        </w:tc>
        <w:tc>
          <w:tcPr>
            <w:tcW w:w="7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Plan 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22.71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11,457,945</w:t>
            </w:r>
          </w:p>
        </w:tc>
        <w:tc>
          <w:tcPr>
            <w:tcW w:w="76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R. Shirley</w:t>
            </w: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Plan 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825,686</w:t>
            </w:r>
          </w:p>
        </w:tc>
        <w:tc>
          <w:tcPr>
            <w:tcW w:w="7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Plan 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22.71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863,943</w:t>
            </w:r>
          </w:p>
        </w:tc>
        <w:tc>
          <w:tcPr>
            <w:tcW w:w="760" w:type="dxa"/>
            <w:vAlign w:val="bottom"/>
          </w:tcPr>
          <w:p>
            <w:pPr>
              <w:spacing w:after="0"/>
              <w:rPr>
                <w:sz w:val="19"/>
                <w:szCs w:val="19"/>
                <w:color w:val="auto"/>
              </w:rPr>
            </w:pP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531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43" w:lineRule="exact"/>
        <w:rPr>
          <w:sz w:val="20"/>
          <w:szCs w:val="20"/>
          <w:color w:val="auto"/>
        </w:rPr>
      </w:pPr>
    </w:p>
    <w:p>
      <w:pPr>
        <w:ind w:left="440" w:right="20" w:hanging="433"/>
        <w:spacing w:after="0" w:line="267"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Plan 1 reflects the Pactiv pension plan (April 12, 1999 — April 30, 2004) and its successor plan, the PCA Pension Plan for Eligible Grandfathered Salaried Employees (May 1, 2004 — December 31, 2021) (the “PCA Pension Plan”).</w:t>
      </w:r>
    </w:p>
    <w:p>
      <w:pPr>
        <w:spacing w:after="0" w:line="72" w:lineRule="exact"/>
        <w:rPr>
          <w:rFonts w:ascii="Arial" w:cs="Arial" w:eastAsia="Arial" w:hAnsi="Arial"/>
          <w:sz w:val="18"/>
          <w:szCs w:val="18"/>
          <w:color w:val="auto"/>
        </w:rPr>
      </w:pPr>
    </w:p>
    <w:p>
      <w:pPr>
        <w:ind w:left="440"/>
        <w:spacing w:after="0" w:line="267" w:lineRule="auto"/>
        <w:rPr>
          <w:rFonts w:ascii="Arial" w:cs="Arial" w:eastAsia="Arial" w:hAnsi="Arial"/>
          <w:sz w:val="18"/>
          <w:szCs w:val="18"/>
          <w:color w:val="auto"/>
        </w:rPr>
      </w:pPr>
      <w:r>
        <w:rPr>
          <w:rFonts w:ascii="Arial" w:cs="Arial" w:eastAsia="Arial" w:hAnsi="Arial"/>
          <w:sz w:val="18"/>
          <w:szCs w:val="18"/>
          <w:color w:val="auto"/>
        </w:rPr>
        <w:t>Plan 2 reflects the Pactiv supplemental executive retirement plan (April 12, 1999 — April 30, 2004) and its successor plan, the PCA Supplemental Executive Retirement Plan (“SERP”) (May 1, 2004 — December 31, 2021).</w:t>
      </w:r>
    </w:p>
    <w:p>
      <w:pPr>
        <w:spacing w:after="0" w:line="72" w:lineRule="exact"/>
        <w:rPr>
          <w:rFonts w:ascii="Arial" w:cs="Arial" w:eastAsia="Arial" w:hAnsi="Arial"/>
          <w:sz w:val="18"/>
          <w:szCs w:val="18"/>
          <w:color w:val="auto"/>
        </w:rPr>
      </w:pPr>
    </w:p>
    <w:p>
      <w:pPr>
        <w:ind w:left="440" w:right="140"/>
        <w:spacing w:after="0" w:line="281" w:lineRule="auto"/>
        <w:rPr>
          <w:rFonts w:ascii="Arial" w:cs="Arial" w:eastAsia="Arial" w:hAnsi="Arial"/>
          <w:sz w:val="18"/>
          <w:szCs w:val="18"/>
          <w:color w:val="auto"/>
        </w:rPr>
      </w:pPr>
      <w:r>
        <w:rPr>
          <w:rFonts w:ascii="Arial" w:cs="Arial" w:eastAsia="Arial" w:hAnsi="Arial"/>
          <w:sz w:val="16"/>
          <w:szCs w:val="16"/>
          <w:color w:val="auto"/>
        </w:rPr>
        <w:t>The Pactiv supplemental executive retirement plan was terminated and the present value of all benefits earned under that plan was paid out to all participants, including PCA named executive officers participating in that plan, during December 2010. Years of service under that plan are credited for purposes of determining benefits under the PCA plan. However, the present value of accumulated benefits reflected in the table for Plan 2 reflect only the present value of benefits earned under the PCA SERP from and after May 1, 2004, which is the date of inception of the</w:t>
      </w:r>
    </w:p>
    <w:p>
      <w:pPr>
        <w:spacing w:after="0" w:line="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PCA SERP.</w:t>
      </w:r>
    </w:p>
    <w:p>
      <w:pPr>
        <w:spacing w:after="0" w:line="101" w:lineRule="exact"/>
        <w:rPr>
          <w:rFonts w:ascii="Arial" w:cs="Arial" w:eastAsia="Arial" w:hAnsi="Arial"/>
          <w:sz w:val="18"/>
          <w:szCs w:val="18"/>
          <w:color w:val="auto"/>
        </w:rPr>
      </w:pPr>
    </w:p>
    <w:p>
      <w:pPr>
        <w:ind w:left="440" w:right="540"/>
        <w:spacing w:after="0" w:line="297" w:lineRule="auto"/>
        <w:rPr>
          <w:rFonts w:ascii="Arial" w:cs="Arial" w:eastAsia="Arial" w:hAnsi="Arial"/>
          <w:sz w:val="18"/>
          <w:szCs w:val="18"/>
          <w:color w:val="auto"/>
        </w:rPr>
      </w:pPr>
      <w:r>
        <w:rPr>
          <w:rFonts w:ascii="Arial" w:cs="Arial" w:eastAsia="Arial" w:hAnsi="Arial"/>
          <w:sz w:val="17"/>
          <w:szCs w:val="17"/>
          <w:color w:val="auto"/>
        </w:rPr>
        <w:t>The PCA Pension Plan provides for normal retirement at age 65 with full retirement benefits and early retirement at age 55 and 10 years of eligibility service with reduced retirement benefits. The reduction in retirement benefits by retirement age is as follows: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89"/>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2"/>
              </w:rPr>
              <w:t>Retirement Age</w:t>
            </w:r>
          </w:p>
        </w:tc>
        <w:tc>
          <w:tcPr>
            <w:tcW w:w="9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Reduction in Benefits (%)</w:t>
            </w:r>
          </w:p>
        </w:tc>
      </w:tr>
      <w:tr>
        <w:trPr>
          <w:trHeight w:val="200"/>
        </w:trPr>
        <w:tc>
          <w:tcPr>
            <w:tcW w:w="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7"/>
              </w:rPr>
              <w:t>62, 63 or 64</w:t>
            </w:r>
          </w:p>
        </w:tc>
        <w:tc>
          <w:tcPr>
            <w:tcW w:w="73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No reduction</w:t>
            </w:r>
          </w:p>
        </w:tc>
        <w:tc>
          <w:tcPr>
            <w:tcW w:w="40" w:type="dxa"/>
            <w:vAlign w:val="bottom"/>
            <w:tcBorders>
              <w:top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61</w:t>
            </w:r>
          </w:p>
        </w:tc>
        <w:tc>
          <w:tcPr>
            <w:tcW w:w="8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8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59</w:t>
            </w:r>
          </w:p>
        </w:tc>
        <w:tc>
          <w:tcPr>
            <w:tcW w:w="8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8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57</w:t>
            </w:r>
          </w:p>
        </w:tc>
        <w:tc>
          <w:tcPr>
            <w:tcW w:w="89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8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55</w:t>
            </w:r>
          </w:p>
        </w:tc>
        <w:tc>
          <w:tcPr>
            <w:tcW w:w="89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r>
    </w:tbl>
    <w:p>
      <w:pPr>
        <w:spacing w:after="0" w:line="83" w:lineRule="exact"/>
        <w:rPr>
          <w:sz w:val="20"/>
          <w:szCs w:val="20"/>
          <w:color w:val="auto"/>
        </w:rPr>
      </w:pPr>
    </w:p>
    <w:p>
      <w:pPr>
        <w:ind w:left="440" w:right="220"/>
        <w:spacing w:after="0" w:line="257" w:lineRule="auto"/>
        <w:rPr>
          <w:sz w:val="20"/>
          <w:szCs w:val="20"/>
          <w:color w:val="auto"/>
        </w:rPr>
      </w:pPr>
      <w:r>
        <w:rPr>
          <w:rFonts w:ascii="Arial" w:cs="Arial" w:eastAsia="Arial" w:hAnsi="Arial"/>
          <w:sz w:val="18"/>
          <w:szCs w:val="18"/>
          <w:color w:val="auto"/>
        </w:rPr>
        <w:t>The formula used for computing monthly benefit payments at normal retirement age is as follows: 55% of average career base compensation earned since January 1, 2000 multiplied by years of credited service (up to a maximum of 35) divided by 35 less the monthly normal retirement benefit earned under the Pactiv pension plan.</w:t>
      </w:r>
    </w:p>
    <w:p>
      <w:pPr>
        <w:spacing w:after="0" w:line="81" w:lineRule="exact"/>
        <w:rPr>
          <w:sz w:val="20"/>
          <w:szCs w:val="20"/>
          <w:color w:val="auto"/>
        </w:rPr>
      </w:pPr>
    </w:p>
    <w:p>
      <w:pPr>
        <w:ind w:left="440" w:right="100"/>
        <w:spacing w:after="0" w:line="257" w:lineRule="auto"/>
        <w:rPr>
          <w:sz w:val="20"/>
          <w:szCs w:val="20"/>
          <w:color w:val="auto"/>
        </w:rPr>
      </w:pPr>
      <w:r>
        <w:rPr>
          <w:rFonts w:ascii="Arial" w:cs="Arial" w:eastAsia="Arial" w:hAnsi="Arial"/>
          <w:sz w:val="18"/>
          <w:szCs w:val="18"/>
          <w:color w:val="auto"/>
        </w:rPr>
        <w:t>The normal form of payment for married participants is a 50% joint and survivor annuity and for single participants is a single life annuity. Other optional forms of payment include: ten-year certain annuity, 75% and 100% joint and survivor annuity. The optional forms of payment are designed to be actuarially equivalent to the normal forms of payment.</w:t>
      </w:r>
    </w:p>
    <w:p>
      <w:pPr>
        <w:spacing w:after="0" w:line="81" w:lineRule="exact"/>
        <w:rPr>
          <w:sz w:val="20"/>
          <w:szCs w:val="20"/>
          <w:color w:val="auto"/>
        </w:rPr>
      </w:pPr>
    </w:p>
    <w:p>
      <w:pPr>
        <w:ind w:left="440" w:right="740"/>
        <w:spacing w:after="0" w:line="267" w:lineRule="auto"/>
        <w:rPr>
          <w:sz w:val="20"/>
          <w:szCs w:val="20"/>
          <w:color w:val="auto"/>
        </w:rPr>
      </w:pPr>
      <w:r>
        <w:rPr>
          <w:rFonts w:ascii="Arial" w:cs="Arial" w:eastAsia="Arial" w:hAnsi="Arial"/>
          <w:sz w:val="18"/>
          <w:szCs w:val="18"/>
          <w:color w:val="auto"/>
        </w:rPr>
        <w:t>The PCA SERP provides additional pension benefits to Mr. Kowlzan, Mr. Hassfurther and Mr. Shirley. The benefits under the SERP are determined using the same formula as the PCA Pension Plan but in addition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60"/>
          </w:cols>
          <w:pgMar w:left="500" w:top="268" w:right="539" w:bottom="1440" w:gutter="0" w:footer="0" w:header="0"/>
        </w:sectPr>
      </w:pPr>
    </w:p>
    <w:bookmarkStart w:id="37" w:name="page38"/>
    <w:bookmarkEnd w:id="37"/>
    <w:p>
      <w:pPr>
        <w:ind w:left="440" w:right="2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career base compensation, the SERP includes executive annual cash incentive plan awards as well as any career base compensation earned in excess of the annual compensation limits imposed under Section 401(a)(17) of the Internal Revenue Code. Benefits earned under the SERP are reduced by any benefits paid from the PCA Pension Plan and any prior benefits under Pactiv’s qualified pension plan and non-qualified SERP. The maximum years of credited service for Mr. Hassfurther for purposes of the SERP is 45 years.</w:t>
      </w:r>
    </w:p>
    <w:p>
      <w:pPr>
        <w:spacing w:after="0" w:line="83" w:lineRule="exact"/>
        <w:rPr>
          <w:sz w:val="20"/>
          <w:szCs w:val="20"/>
          <w:color w:val="auto"/>
        </w:rPr>
      </w:pPr>
    </w:p>
    <w:p>
      <w:pPr>
        <w:ind w:left="440" w:right="80" w:hanging="433"/>
        <w:spacing w:after="0" w:line="295"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present values of accumulated benefits reported for the named executive officers are for benefits earned under Plan 1 from April 12, 1999 through December 31, 2021 and the present value of accumulated benefits earned under Plan 2 from May 1, 2004 through December 31, 2021. The Number of Years of Credited Service reflects employment of the named executive officers by PCA since April 12, 1999. The years of service attributable to each of Mr. Kowlzan, Mr. Hassfurther and Mr. Shirley while employed by PCA is 22.71 years.</w:t>
      </w:r>
    </w:p>
    <w:p>
      <w:pPr>
        <w:spacing w:after="0" w:line="54" w:lineRule="exact"/>
        <w:rPr>
          <w:rFonts w:ascii="Arial" w:cs="Arial" w:eastAsia="Arial" w:hAnsi="Arial"/>
          <w:sz w:val="16"/>
          <w:szCs w:val="16"/>
          <w:color w:val="auto"/>
        </w:rPr>
      </w:pPr>
    </w:p>
    <w:p>
      <w:pPr>
        <w:ind w:left="440" w:right="780"/>
        <w:spacing w:after="0" w:line="267" w:lineRule="auto"/>
        <w:rPr>
          <w:rFonts w:ascii="Arial" w:cs="Arial" w:eastAsia="Arial" w:hAnsi="Arial"/>
          <w:sz w:val="16"/>
          <w:szCs w:val="16"/>
          <w:color w:val="auto"/>
        </w:rPr>
      </w:pPr>
      <w:r>
        <w:rPr>
          <w:rFonts w:ascii="Arial" w:cs="Arial" w:eastAsia="Arial" w:hAnsi="Arial"/>
          <w:sz w:val="18"/>
          <w:szCs w:val="18"/>
          <w:color w:val="auto"/>
        </w:rPr>
        <w:t>The present values of accumulated benefits are based upon interest rate and mortality rate assumptions consistent with those used in our December 31, 2021 financial statements.</w:t>
      </w:r>
    </w:p>
    <w:p>
      <w:pPr>
        <w:spacing w:after="0" w:line="72" w:lineRule="exact"/>
        <w:rPr>
          <w:rFonts w:ascii="Arial" w:cs="Arial" w:eastAsia="Arial" w:hAnsi="Arial"/>
          <w:sz w:val="16"/>
          <w:szCs w:val="16"/>
          <w:color w:val="auto"/>
        </w:rPr>
      </w:pPr>
    </w:p>
    <w:p>
      <w:pPr>
        <w:ind w:left="440"/>
        <w:spacing w:after="0" w:line="251" w:lineRule="auto"/>
        <w:rPr>
          <w:rFonts w:ascii="Arial" w:cs="Arial" w:eastAsia="Arial" w:hAnsi="Arial"/>
          <w:sz w:val="16"/>
          <w:szCs w:val="16"/>
          <w:color w:val="auto"/>
        </w:rPr>
      </w:pPr>
      <w:r>
        <w:rPr>
          <w:rFonts w:ascii="Arial" w:cs="Arial" w:eastAsia="Arial" w:hAnsi="Arial"/>
          <w:sz w:val="18"/>
          <w:szCs w:val="18"/>
          <w:color w:val="auto"/>
        </w:rPr>
        <w:t>We calculated the present values shown in the Pension Benefits Table using: (i) a 2.96% discount rate for Plan 1 and a 2.88% discount rate for Plan 2, the same discount rates we use for ASC 715 calculations for financial reporting purposes; and (ii) the plan’s unreduced retirement age of 62. The present values shown in the table reflect postretirement mortality, based on the ASC 715 assumption (the Amounts-weighted Pri-2012 Retiree Mortality Table with White Collar Adjustment projected generationally using MP-2021) but do not include a factor for preretirement termination, mortality, or disability. Amounts for the pension plans are based on the present value of the annuity elections reflected in the ASC 715 calculation.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Non-Qualified Deferred Compensation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50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Registrant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520" w:type="dxa"/>
            <w:vAlign w:val="bottom"/>
          </w:tcPr>
          <w:p>
            <w:pPr>
              <w:spacing w:after="0"/>
              <w:rPr>
                <w:sz w:val="14"/>
                <w:szCs w:val="14"/>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Aggregate</w:t>
            </w:r>
          </w:p>
        </w:tc>
        <w:tc>
          <w:tcPr>
            <w:tcW w:w="1700" w:type="dxa"/>
            <w:vAlign w:val="bottom"/>
            <w:gridSpan w:val="3"/>
            <w:vMerge w:val="restart"/>
          </w:tcPr>
          <w:p>
            <w:pPr>
              <w:jc w:val="center"/>
              <w:ind w:left="358"/>
              <w:spacing w:after="0"/>
              <w:rPr>
                <w:sz w:val="20"/>
                <w:szCs w:val="20"/>
                <w:color w:val="auto"/>
              </w:rPr>
            </w:pPr>
            <w:r>
              <w:rPr>
                <w:rFonts w:ascii="Arial" w:cs="Arial" w:eastAsia="Arial" w:hAnsi="Arial"/>
                <w:sz w:val="14"/>
                <w:szCs w:val="14"/>
                <w:b w:val="1"/>
                <w:bCs w:val="1"/>
                <w:color w:val="auto"/>
                <w:w w:val="89"/>
              </w:rPr>
              <w:t>Aggregate Balance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0" w:type="dxa"/>
            <w:vAlign w:val="bottom"/>
            <w:gridSpan w:val="2"/>
          </w:tcPr>
          <w:p>
            <w:pPr>
              <w:jc w:val="center"/>
              <w:ind w:left="1243"/>
              <w:spacing w:after="0" w:line="147" w:lineRule="exact"/>
              <w:rPr>
                <w:sz w:val="20"/>
                <w:szCs w:val="20"/>
                <w:color w:val="auto"/>
              </w:rPr>
            </w:pPr>
            <w:r>
              <w:rPr>
                <w:rFonts w:ascii="Arial" w:cs="Arial" w:eastAsia="Arial" w:hAnsi="Arial"/>
                <w:sz w:val="14"/>
                <w:szCs w:val="14"/>
                <w:b w:val="1"/>
                <w:bCs w:val="1"/>
                <w:color w:val="auto"/>
                <w:w w:val="91"/>
              </w:rPr>
              <w:t>Contributions</w:t>
            </w:r>
          </w:p>
        </w:tc>
        <w:tc>
          <w:tcPr>
            <w:tcW w:w="1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1"/>
              </w:rPr>
              <w:t>Contributions</w:t>
            </w: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Earnings</w:t>
            </w:r>
          </w:p>
        </w:tc>
        <w:tc>
          <w:tcPr>
            <w:tcW w:w="5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 Last</w:t>
            </w:r>
          </w:p>
        </w:tc>
        <w:tc>
          <w:tcPr>
            <w:tcW w:w="500" w:type="dxa"/>
            <w:vAlign w:val="bottom"/>
          </w:tcPr>
          <w:p>
            <w:pPr>
              <w:spacing w:after="0"/>
              <w:rPr>
                <w:sz w:val="12"/>
                <w:szCs w:val="12"/>
                <w:color w:val="auto"/>
              </w:rPr>
            </w:pPr>
          </w:p>
        </w:tc>
        <w:tc>
          <w:tcPr>
            <w:tcW w:w="136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auto"/>
                <w:w w:val="92"/>
              </w:rPr>
              <w:t>in Last</w:t>
            </w: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 Last</w:t>
            </w:r>
          </w:p>
        </w:tc>
        <w:tc>
          <w:tcPr>
            <w:tcW w:w="13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Withdrawals/</w:t>
            </w:r>
          </w:p>
        </w:tc>
        <w:tc>
          <w:tcPr>
            <w:tcW w:w="500" w:type="dxa"/>
            <w:vAlign w:val="bottom"/>
          </w:tcPr>
          <w:p>
            <w:pPr>
              <w:spacing w:after="0"/>
              <w:rPr>
                <w:sz w:val="12"/>
                <w:szCs w:val="12"/>
                <w:color w:val="auto"/>
              </w:rPr>
            </w:pPr>
          </w:p>
        </w:tc>
        <w:tc>
          <w:tcPr>
            <w:tcW w:w="12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at Last Fiscal</w:t>
            </w:r>
          </w:p>
        </w:tc>
        <w:tc>
          <w:tcPr>
            <w:tcW w:w="0" w:type="dxa"/>
            <w:vAlign w:val="bottom"/>
          </w:tcPr>
          <w:p>
            <w:pPr>
              <w:spacing w:after="0"/>
              <w:rPr>
                <w:sz w:val="1"/>
                <w:szCs w:val="1"/>
                <w:color w:val="auto"/>
              </w:rPr>
            </w:pPr>
          </w:p>
        </w:tc>
      </w:tr>
      <w:tr>
        <w:trPr>
          <w:trHeight w:val="147"/>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spacing w:after="0"/>
              <w:rPr>
                <w:sz w:val="12"/>
                <w:szCs w:val="12"/>
                <w:color w:val="auto"/>
              </w:rPr>
            </w:pP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Fiscal Year</w:t>
            </w:r>
          </w:p>
        </w:tc>
        <w:tc>
          <w:tcPr>
            <w:tcW w:w="500" w:type="dxa"/>
            <w:vAlign w:val="bottom"/>
          </w:tcPr>
          <w:p>
            <w:pPr>
              <w:spacing w:after="0"/>
              <w:rPr>
                <w:sz w:val="12"/>
                <w:szCs w:val="12"/>
                <w:color w:val="auto"/>
              </w:rPr>
            </w:pPr>
          </w:p>
        </w:tc>
        <w:tc>
          <w:tcPr>
            <w:tcW w:w="136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1"/>
              </w:rPr>
              <w:t>Fiscal Year</w:t>
            </w: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Fiscal Year</w:t>
            </w:r>
          </w:p>
        </w:tc>
        <w:tc>
          <w:tcPr>
            <w:tcW w:w="520" w:type="dxa"/>
            <w:vAlign w:val="bottom"/>
          </w:tcPr>
          <w:p>
            <w:pPr>
              <w:spacing w:after="0"/>
              <w:rPr>
                <w:sz w:val="12"/>
                <w:szCs w:val="12"/>
                <w:color w:val="auto"/>
              </w:rPr>
            </w:pPr>
          </w:p>
        </w:tc>
        <w:tc>
          <w:tcPr>
            <w:tcW w:w="8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0"/>
              </w:rPr>
              <w:t>Distributions</w:t>
            </w:r>
          </w:p>
        </w:tc>
        <w:tc>
          <w:tcPr>
            <w:tcW w:w="500" w:type="dxa"/>
            <w:vAlign w:val="bottom"/>
          </w:tcPr>
          <w:p>
            <w:pPr>
              <w:spacing w:after="0"/>
              <w:rPr>
                <w:sz w:val="12"/>
                <w:szCs w:val="12"/>
                <w:color w:val="auto"/>
              </w:rPr>
            </w:pPr>
          </w:p>
        </w:tc>
        <w:tc>
          <w:tcPr>
            <w:tcW w:w="12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Year End</w:t>
            </w:r>
          </w:p>
        </w:tc>
        <w:tc>
          <w:tcPr>
            <w:tcW w:w="0" w:type="dxa"/>
            <w:vAlign w:val="bottom"/>
          </w:tcPr>
          <w:p>
            <w:pPr>
              <w:spacing w:after="0"/>
              <w:rPr>
                <w:sz w:val="1"/>
                <w:szCs w:val="1"/>
                <w:color w:val="auto"/>
              </w:rPr>
            </w:pPr>
          </w:p>
        </w:tc>
      </w:tr>
      <w:tr>
        <w:trPr>
          <w:trHeight w:val="156"/>
        </w:trPr>
        <w:tc>
          <w:tcPr>
            <w:tcW w:w="3020" w:type="dxa"/>
            <w:vAlign w:val="bottom"/>
            <w:gridSpan w:val="3"/>
            <w:vMerge w:val="continue"/>
          </w:tcPr>
          <w:p>
            <w:pPr>
              <w:spacing w:after="0"/>
              <w:rPr>
                <w:sz w:val="13"/>
                <w:szCs w:val="13"/>
                <w:color w:val="auto"/>
              </w:rPr>
            </w:pPr>
          </w:p>
        </w:tc>
        <w:tc>
          <w:tcPr>
            <w:tcW w:w="2200" w:type="dxa"/>
            <w:vAlign w:val="bottom"/>
            <w:gridSpan w:val="2"/>
          </w:tcPr>
          <w:p>
            <w:pPr>
              <w:jc w:val="center"/>
              <w:ind w:left="1243"/>
              <w:spacing w:after="0" w:line="156" w:lineRule="exact"/>
              <w:rPr>
                <w:sz w:val="20"/>
                <w:szCs w:val="20"/>
                <w:color w:val="auto"/>
              </w:rPr>
            </w:pPr>
            <w:r>
              <w:rPr>
                <w:rFonts w:ascii="Arial" w:cs="Arial" w:eastAsia="Arial" w:hAnsi="Arial"/>
                <w:sz w:val="14"/>
                <w:szCs w:val="14"/>
                <w:b w:val="1"/>
                <w:bCs w:val="1"/>
                <w:color w:val="auto"/>
                <w:w w:val="93"/>
              </w:rPr>
              <w:t>($)</w:t>
            </w:r>
          </w:p>
        </w:tc>
        <w:tc>
          <w:tcPr>
            <w:tcW w:w="1360" w:type="dxa"/>
            <w:vAlign w:val="bottom"/>
            <w:gridSpan w:val="2"/>
          </w:tcPr>
          <w:p>
            <w:pPr>
              <w:jc w:val="center"/>
              <w:ind w:left="400"/>
              <w:spacing w:after="0" w:line="156" w:lineRule="exact"/>
              <w:rPr>
                <w:sz w:val="20"/>
                <w:szCs w:val="20"/>
                <w:color w:val="auto"/>
              </w:rPr>
            </w:pPr>
            <w:r>
              <w:rPr>
                <w:rFonts w:ascii="Arial" w:cs="Arial" w:eastAsia="Arial" w:hAnsi="Arial"/>
                <w:sz w:val="14"/>
                <w:szCs w:val="14"/>
                <w:b w:val="1"/>
                <w:bCs w:val="1"/>
                <w:color w:val="auto"/>
                <w:w w:val="93"/>
              </w:rPr>
              <w:t>($)(1)</w:t>
            </w:r>
          </w:p>
        </w:tc>
        <w:tc>
          <w:tcPr>
            <w:tcW w:w="500" w:type="dxa"/>
            <w:vAlign w:val="bottom"/>
          </w:tcPr>
          <w:p>
            <w:pPr>
              <w:spacing w:after="0"/>
              <w:rPr>
                <w:sz w:val="13"/>
                <w:szCs w:val="13"/>
                <w:color w:val="auto"/>
              </w:rPr>
            </w:pPr>
          </w:p>
        </w:tc>
        <w:tc>
          <w:tcPr>
            <w:tcW w:w="7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($)(2)</w:t>
            </w:r>
          </w:p>
        </w:tc>
        <w:tc>
          <w:tcPr>
            <w:tcW w:w="1340" w:type="dxa"/>
            <w:vAlign w:val="bottom"/>
            <w:gridSpan w:val="2"/>
          </w:tcPr>
          <w:p>
            <w:pPr>
              <w:jc w:val="right"/>
              <w:ind w:right="256"/>
              <w:spacing w:after="0" w:line="156" w:lineRule="exact"/>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center"/>
              <w:ind w:left="418"/>
              <w:spacing w:after="0" w:line="156"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Mark W. Kowlzan</w:t>
            </w:r>
          </w:p>
        </w:tc>
        <w:tc>
          <w:tcPr>
            <w:tcW w:w="1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Thomas A. Hassfurther</w:t>
            </w:r>
          </w:p>
        </w:tc>
        <w:tc>
          <w:tcPr>
            <w:tcW w:w="1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1,259,299</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6,742,789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P. Mundy</w:t>
            </w:r>
          </w:p>
        </w:tc>
        <w:tc>
          <w:tcPr>
            <w:tcW w:w="1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115,135</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651,284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Charles J. Carter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55,400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196,306</w:t>
            </w: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1,965,708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R. Shirley</w:t>
            </w:r>
          </w:p>
        </w:tc>
        <w:tc>
          <w:tcPr>
            <w:tcW w:w="1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531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54" w:lineRule="exact"/>
        <w:rPr>
          <w:sz w:val="20"/>
          <w:szCs w:val="20"/>
          <w:color w:val="auto"/>
        </w:rPr>
      </w:pPr>
    </w:p>
    <w:p>
      <w:pPr>
        <w:ind w:left="440" w:right="240" w:hanging="433"/>
        <w:spacing w:after="0" w:line="25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provide annual deferred compensation account contributions to Mr. Mundy and Mr. Carter because they are not eligible to participate in our defined benefit pension plans. Amounts reported in this column were reported in the Summary Compensation Table as “All Other Income” for 2021.</w:t>
      </w:r>
    </w:p>
    <w:p>
      <w:pPr>
        <w:spacing w:after="0" w:line="94" w:lineRule="exact"/>
        <w:rPr>
          <w:rFonts w:ascii="Arial" w:cs="Arial" w:eastAsia="Arial" w:hAnsi="Arial"/>
          <w:sz w:val="18"/>
          <w:szCs w:val="18"/>
          <w:color w:val="auto"/>
        </w:rPr>
      </w:pPr>
    </w:p>
    <w:p>
      <w:pPr>
        <w:ind w:left="440" w:right="420" w:hanging="433"/>
        <w:spacing w:after="0" w:line="330"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Earnings on deferred compensation are not included in “Change in Pension Value and Nonqualified Deferred Compensation Earnings” in the Summary Compensation Table because the earnings are not considered above-market or at a preferential rate of earnings.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Deferred Compensation Plan</w:t>
      </w:r>
    </w:p>
    <w:p>
      <w:pPr>
        <w:spacing w:after="0" w:line="119" w:lineRule="exact"/>
        <w:rPr>
          <w:sz w:val="20"/>
          <w:szCs w:val="20"/>
          <w:color w:val="auto"/>
        </w:rPr>
      </w:pPr>
    </w:p>
    <w:p>
      <w:pPr>
        <w:ind w:right="60" w:firstLine="435"/>
        <w:spacing w:after="0" w:line="295" w:lineRule="auto"/>
        <w:rPr>
          <w:sz w:val="20"/>
          <w:szCs w:val="20"/>
          <w:color w:val="auto"/>
        </w:rPr>
      </w:pPr>
      <w:r>
        <w:rPr>
          <w:rFonts w:ascii="Arial" w:cs="Arial" w:eastAsia="Arial" w:hAnsi="Arial"/>
          <w:sz w:val="16"/>
          <w:szCs w:val="16"/>
          <w:color w:val="auto"/>
        </w:rPr>
        <w:t>The deferred compensation plan provides eligible executives, including the named executive officers, the opportunity to defer all or a portion of their annual cash incentive awards under our annual incentive plan. Participants have the option of investing their deferred incentive awards among four distinct notional investment options in 1% increments, which include: (i) The JPMorgan Chase Prime Rate; (ii) The Fidelity Growth Company (large cap growth); (iii) Prudential Core Plus Bond (intermediate to long term bond); and (iv) Northern Trust Collective S&amp;P 500 (S&amp;P 500 index).</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80"/>
          </w:cols>
          <w:pgMar w:left="500" w:top="274" w:right="519" w:bottom="1440" w:gutter="0" w:footer="0" w:header="0"/>
        </w:sectPr>
      </w:pPr>
    </w:p>
    <w:bookmarkStart w:id="38" w:name="page39"/>
    <w:bookmarkEnd w:id="38"/>
    <w:p>
      <w:pPr>
        <w:ind w:right="40" w:firstLine="435"/>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JPMorgan Chase Prime Rate option is credited with prime rate as reported by the JPMorgan Chase Bank as of the first day of each calendar month. The notional returns for the Northern Trust Collective S&amp;P 500, Fidelity Growth Company and Prudential Core Plus Bond Fund, which are investment options also offered in PCA’s defined contribution 401(k) plan, are based on the same daily net asset values computed under the 401(k) plan. In addition, the equivalent of any dividends or capital gains payments made by the Fidelity Growth Company option are also factored into the respective notional returns calculated for this investment option.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rates of return for the deferred compensation investment options were as follows for 2021:</w:t>
      </w:r>
    </w:p>
    <w:p>
      <w:pPr>
        <w:spacing w:after="0" w:line="236" w:lineRule="exact"/>
        <w:rPr>
          <w:sz w:val="20"/>
          <w:szCs w:val="20"/>
          <w:color w:val="auto"/>
        </w:rPr>
      </w:pPr>
    </w:p>
    <w:tbl>
      <w:tblPr>
        <w:tblLayout w:type="fixed"/>
        <w:tblInd w:w="440" w:type="dxa"/>
        <w:tblCellMar>
          <w:top w:w="0" w:type="dxa"/>
          <w:left w:w="0" w:type="dxa"/>
          <w:bottom w:w="0" w:type="dxa"/>
          <w:right w:w="0" w:type="dxa"/>
        </w:tblCellMar>
      </w:tblPr>
      <w:tr>
        <w:trPr>
          <w:trHeight w:val="169"/>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Fund Name</w:t>
            </w:r>
          </w:p>
        </w:tc>
        <w:tc>
          <w:tcPr>
            <w:tcW w:w="4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Annual Return%</w:t>
            </w:r>
          </w:p>
        </w:tc>
      </w:tr>
      <w:tr>
        <w:trPr>
          <w:trHeight w:val="20"/>
        </w:trPr>
        <w:tc>
          <w:tcPr>
            <w:tcW w:w="20" w:type="dxa"/>
            <w:vAlign w:val="bottom"/>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Northern Trust Collective S&amp;P 500</w:t>
            </w:r>
          </w:p>
        </w:tc>
        <w:tc>
          <w:tcPr>
            <w:tcW w:w="3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The Fidelity Growth Company</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Core Plus Bond</w:t>
            </w:r>
          </w:p>
        </w:tc>
        <w:tc>
          <w:tcPr>
            <w:tcW w:w="4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24"/>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The JPMorgan Chase Prime Rate</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r>
    </w:tbl>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Participants may elect to change the allocation of their notional investments on any business day.</w:t>
      </w:r>
    </w:p>
    <w:p>
      <w:pPr>
        <w:spacing w:after="0" w:line="219" w:lineRule="exact"/>
        <w:rPr>
          <w:sz w:val="20"/>
          <w:szCs w:val="20"/>
          <w:color w:val="auto"/>
        </w:rPr>
      </w:pPr>
    </w:p>
    <w:p>
      <w:pPr>
        <w:jc w:val="both"/>
        <w:ind w:right="40" w:firstLine="435"/>
        <w:spacing w:after="0" w:line="279" w:lineRule="auto"/>
        <w:rPr>
          <w:sz w:val="20"/>
          <w:szCs w:val="20"/>
          <w:color w:val="auto"/>
        </w:rPr>
      </w:pPr>
      <w:r>
        <w:rPr>
          <w:rFonts w:ascii="Arial" w:cs="Arial" w:eastAsia="Arial" w:hAnsi="Arial"/>
          <w:sz w:val="17"/>
          <w:szCs w:val="17"/>
          <w:color w:val="auto"/>
        </w:rPr>
        <w:t>Under the terms of the deferred compensation plan, the value of the deferred amounts are typically paid upon the earlier of termination, retirement or death. However, at the time of the annual deferral election, participants may designate an alternate payment date provided that it is no earlier than one year from the date of deferral and no later than five years following the date of termination, retirement or death.</w:t>
      </w:r>
    </w:p>
    <w:p>
      <w:pPr>
        <w:spacing w:after="0" w:line="171" w:lineRule="exact"/>
        <w:rPr>
          <w:sz w:val="20"/>
          <w:szCs w:val="20"/>
          <w:color w:val="auto"/>
        </w:rPr>
      </w:pPr>
    </w:p>
    <w:p>
      <w:pPr>
        <w:ind w:right="60" w:firstLine="435"/>
        <w:spacing w:after="0" w:line="279" w:lineRule="auto"/>
        <w:rPr>
          <w:sz w:val="20"/>
          <w:szCs w:val="20"/>
          <w:color w:val="auto"/>
        </w:rPr>
      </w:pPr>
      <w:r>
        <w:rPr>
          <w:rFonts w:ascii="Arial" w:cs="Arial" w:eastAsia="Arial" w:hAnsi="Arial"/>
          <w:sz w:val="17"/>
          <w:szCs w:val="17"/>
          <w:color w:val="auto"/>
        </w:rPr>
        <w:t>Participants may apply for a withdrawal of all or a portion of their deferred compensation account to meet severe financial hardship, plus amounts necessary to pay taxes reasonably anticipated as a result of the distribution. The hardship application must be reviewed and approved by the PCA Benefits Administration Committee and cannot exceed the amount necessary to alleviate such financial need.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Incremental Payments on Termination or a Change of Control</w:t>
      </w:r>
    </w:p>
    <w:p>
      <w:pPr>
        <w:spacing w:after="0" w:line="119" w:lineRule="exact"/>
        <w:rPr>
          <w:sz w:val="20"/>
          <w:szCs w:val="20"/>
          <w:color w:val="auto"/>
        </w:rPr>
      </w:pPr>
    </w:p>
    <w:p>
      <w:pPr>
        <w:ind w:right="80" w:firstLine="435"/>
        <w:spacing w:after="0" w:line="284" w:lineRule="auto"/>
        <w:rPr>
          <w:sz w:val="20"/>
          <w:szCs w:val="20"/>
          <w:color w:val="auto"/>
        </w:rPr>
      </w:pPr>
      <w:r>
        <w:rPr>
          <w:rFonts w:ascii="Arial" w:cs="Arial" w:eastAsia="Arial" w:hAnsi="Arial"/>
          <w:sz w:val="16"/>
          <w:szCs w:val="16"/>
          <w:color w:val="auto"/>
        </w:rPr>
        <w:t>Named executive officers are not entitled to receive any incremental benefits or accelerated benefits that are different in scope, terms or operation than what are generally available to our salaried employees who are eligible to participate in our various compensation plans. We have no contractual obligation to pay severance to any of our named executive officers in the event of a termination. If a named executive officer terminates or retires, post-termination arrangements or post-retirement arrangements would be considered on a case-by-case basis, and we will consider such arrangements if we require transitional services and/or non-competition or non-solicitation covenants. We would consider acceleration or continued vesting of unvested equity awards in connection with termination or retirement on a case-by-case basis. Based on the closing market price of our common stock of $136.15 on the New York Stock Exchange on December 31, 2021, the last trading day of the year, the value of unvested restricted stock and performance units, assuming payout at the target level of performance for all performance units, held by each named executive officer was: Mr. Kowlzan, $27,921,105; Mr. Hassfurther, $19,312,936; Mr. Mundy, $7,101,782; Mr. Carter, $6,050,172; and Mr. Shirley, $4,283,855.</w:t>
      </w:r>
    </w:p>
    <w:p>
      <w:pPr>
        <w:spacing w:after="0" w:line="173" w:lineRule="exact"/>
        <w:rPr>
          <w:sz w:val="20"/>
          <w:szCs w:val="20"/>
          <w:color w:val="auto"/>
        </w:rPr>
      </w:pPr>
    </w:p>
    <w:p>
      <w:pPr>
        <w:ind w:right="380" w:firstLine="435"/>
        <w:spacing w:after="0" w:line="267" w:lineRule="auto"/>
        <w:rPr>
          <w:sz w:val="20"/>
          <w:szCs w:val="20"/>
          <w:color w:val="auto"/>
        </w:rPr>
      </w:pPr>
      <w:r>
        <w:rPr>
          <w:rFonts w:ascii="Arial" w:cs="Arial" w:eastAsia="Arial" w:hAnsi="Arial"/>
          <w:sz w:val="18"/>
          <w:szCs w:val="18"/>
          <w:color w:val="auto"/>
        </w:rPr>
        <w:t>Each of Mr. Kowlzan and Mr. Hassfurther are retirement eligible under the terms of the PCA Pension Plan, and, in the event of a termination, would be entitled to receive the benefits described above under “Pension Benefits as of December 31, 2021.”</w:t>
      </w:r>
    </w:p>
    <w:p>
      <w:pPr>
        <w:spacing w:after="0" w:line="179" w:lineRule="exact"/>
        <w:rPr>
          <w:sz w:val="20"/>
          <w:szCs w:val="20"/>
          <w:color w:val="auto"/>
        </w:rPr>
      </w:pPr>
    </w:p>
    <w:p>
      <w:pPr>
        <w:ind w:firstLine="435"/>
        <w:spacing w:after="0" w:line="252" w:lineRule="auto"/>
        <w:rPr>
          <w:sz w:val="20"/>
          <w:szCs w:val="20"/>
          <w:color w:val="auto"/>
        </w:rPr>
      </w:pPr>
      <w:r>
        <w:rPr>
          <w:rFonts w:ascii="Arial" w:cs="Arial" w:eastAsia="Arial" w:hAnsi="Arial"/>
          <w:sz w:val="18"/>
          <w:szCs w:val="18"/>
          <w:color w:val="auto"/>
        </w:rPr>
        <w:t>If a named executive officer terminates employment as a result of death or disability, then all restrictions on restricted stock will lapse. In the event of death, (a) TSR units will vest on the date of death and pay out a pro-rated portion through the date of death of the holder, based upon actual performance through the date of death; and (b) ROIC units will vest on the date of death and pay out based upon actual performance through the calendar year preceding the date of death (or at the target level if the date of death is before the end of the first year of the performance period). In the event of disability, (a) the TSR units will not vest early and will pay out 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80"/>
          </w:cols>
          <w:pgMar w:left="500" w:top="274" w:right="519" w:bottom="1440" w:gutter="0" w:footer="0" w:header="0"/>
        </w:sectPr>
      </w:pPr>
    </w:p>
    <w:bookmarkStart w:id="39" w:name="page40"/>
    <w:bookmarkEnd w:id="39"/>
    <w:p>
      <w:pPr>
        <w:ind w:right="220"/>
        <w:spacing w:after="0" w:line="29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pro-rated portion through the date of disability based upon performance through the entire performance period; and (B) ROIC units will not vest early and will pay out on the fourth anniversary of the award date based upon actual performance through the entire performance period.</w:t>
      </w:r>
    </w:p>
    <w:p>
      <w:pPr>
        <w:spacing w:after="0" w:line="156" w:lineRule="exact"/>
        <w:rPr>
          <w:sz w:val="20"/>
          <w:szCs w:val="20"/>
          <w:color w:val="auto"/>
        </w:rPr>
      </w:pPr>
    </w:p>
    <w:p>
      <w:pPr>
        <w:ind w:right="60" w:firstLine="435"/>
        <w:spacing w:after="0" w:line="284" w:lineRule="auto"/>
        <w:rPr>
          <w:sz w:val="20"/>
          <w:szCs w:val="20"/>
          <w:color w:val="auto"/>
        </w:rPr>
      </w:pPr>
      <w:r>
        <w:rPr>
          <w:rFonts w:ascii="Arial" w:cs="Arial" w:eastAsia="Arial" w:hAnsi="Arial"/>
          <w:sz w:val="16"/>
          <w:szCs w:val="16"/>
          <w:color w:val="auto"/>
        </w:rPr>
        <w:t>Based on the closing market price of our common stock of $136.15 on the New York Stock Exchange on December 31, 2021, the last trading day of the year, (i) the value of unvested restricted stock and performance units held by each named executive officer that would vest as a result of death on December 31, 2021 was: Mr. Kowlzan, $24,986,056; Mr. Hassfurther, $17,282,750; Mr. Mundy, $6,331,342; Mr. Carter, $5,414,290; and Mr. Shirley, $3,982,793; and (ii) the value of unvested restricted stock and performance units held by each named executive officer that would vest as a result of disability on December 31, 2021 was: Mr. Kowlzan, $24,995,756; Mr. Hassfurther, $17,289,465; Mr. Mundy, $6,333,904; Mr. Carter, $5,416,371; and Mr. Shirley, $3,984,427. The foregoing values of awards that would vest upon death reflect the estimated degree of performance attained under the performance units through December 31, 2021. The value of performance units that would vest as a result of disability on December 31, 2021 is not determinable because the payout of those awards would depend on actual performance through the end of the performance period; accordingly, we have assumed that performance units will vest at the target level for purposes of the calculation made in clause (ii) of the previous sentence.</w:t>
      </w:r>
    </w:p>
    <w:p>
      <w:pPr>
        <w:spacing w:after="0" w:line="173" w:lineRule="exact"/>
        <w:rPr>
          <w:sz w:val="20"/>
          <w:szCs w:val="20"/>
          <w:color w:val="auto"/>
        </w:rPr>
      </w:pPr>
    </w:p>
    <w:p>
      <w:pPr>
        <w:ind w:right="40" w:firstLine="435"/>
        <w:spacing w:after="0" w:line="267" w:lineRule="auto"/>
        <w:rPr>
          <w:sz w:val="20"/>
          <w:szCs w:val="20"/>
          <w:color w:val="auto"/>
        </w:rPr>
      </w:pPr>
      <w:r>
        <w:rPr>
          <w:rFonts w:ascii="Arial" w:cs="Arial" w:eastAsia="Arial" w:hAnsi="Arial"/>
          <w:sz w:val="17"/>
          <w:szCs w:val="17"/>
          <w:color w:val="auto"/>
        </w:rPr>
        <w:t>Our equity awards include double-trigger change-of-control provisions for restricted stock and performance units if a qualifying substitute equity award is made. Based on the closing market price of our common stock of $136.15 on the New York Stock Exchange on December 31, 2021, the last trading day of the year, the value of unvested restricted stock and performance units held by each named executive officer that would vest either as a result of death or disability if the officer terminated or resigned for good reason within two years after, the change of control, or if a qualifying substitute equity award was not awarded to such officer was: Mr. Kowlzan, $28,738,155; Mr. Hassfurther, $19,878,087; Mr. Mundy, $7,316,238; Mr. Carter, $6,227,208; and Mr. Shirley, $4,614,950. The foregoing values reflect the estimated degree of performance through December 31, 2021, except that performance unit awards made in 2021 are presented at the target level.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service on the board, we do not compensate management. In 2021, non-employee directors received the compensation described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Change in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8"/>
              </w:rPr>
              <w:t>Pension</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0"/>
              </w:rPr>
              <w:t>Value and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8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Fees Earned</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Nonqualified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840" w:type="dxa"/>
            <w:vAlign w:val="bottom"/>
            <w:gridSpan w:val="3"/>
            <w:vMerge w:val="continue"/>
          </w:tcPr>
          <w:p>
            <w:pPr>
              <w:spacing w:after="0"/>
              <w:rPr>
                <w:sz w:val="12"/>
                <w:szCs w:val="12"/>
                <w:color w:val="auto"/>
              </w:rPr>
            </w:pPr>
          </w:p>
        </w:tc>
        <w:tc>
          <w:tcPr>
            <w:tcW w:w="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2"/>
                <w:szCs w:val="12"/>
                <w:color w:val="auto"/>
              </w:rPr>
            </w:pPr>
          </w:p>
        </w:tc>
        <w:tc>
          <w:tcPr>
            <w:tcW w:w="126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Deferred</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2"/>
              </w:rPr>
              <w:t>or Paid</w:t>
            </w:r>
          </w:p>
        </w:tc>
        <w:tc>
          <w:tcPr>
            <w:tcW w:w="540" w:type="dxa"/>
            <w:vAlign w:val="bottom"/>
            <w:vMerge w:val="continue"/>
          </w:tcPr>
          <w:p>
            <w:pPr>
              <w:spacing w:after="0"/>
              <w:rPr>
                <w:sz w:val="12"/>
                <w:szCs w:val="12"/>
                <w:color w:val="auto"/>
              </w:rPr>
            </w:pPr>
          </w:p>
        </w:tc>
        <w:tc>
          <w:tcPr>
            <w:tcW w:w="164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7"/>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spacing w:after="0"/>
              <w:rPr>
                <w:sz w:val="12"/>
                <w:szCs w:val="12"/>
                <w:color w:val="auto"/>
              </w:rPr>
            </w:pPr>
          </w:p>
        </w:tc>
        <w:tc>
          <w:tcPr>
            <w:tcW w:w="11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0"/>
              </w:rPr>
              <w:t>in Cash</w:t>
            </w:r>
          </w:p>
        </w:tc>
        <w:tc>
          <w:tcPr>
            <w:tcW w:w="540" w:type="dxa"/>
            <w:vAlign w:val="bottom"/>
          </w:tcPr>
          <w:p>
            <w:pPr>
              <w:ind w:left="40"/>
              <w:spacing w:after="0" w:line="147" w:lineRule="exact"/>
              <w:rPr>
                <w:sz w:val="20"/>
                <w:szCs w:val="20"/>
                <w:color w:val="auto"/>
              </w:rPr>
            </w:pPr>
            <w:r>
              <w:rPr>
                <w:rFonts w:ascii="Arial" w:cs="Arial" w:eastAsia="Arial" w:hAnsi="Arial"/>
                <w:sz w:val="14"/>
                <w:szCs w:val="14"/>
                <w:b w:val="1"/>
                <w:bCs w:val="1"/>
                <w:color w:val="auto"/>
                <w:w w:val="94"/>
              </w:rPr>
              <w:t>Awards</w:t>
            </w:r>
          </w:p>
        </w:tc>
        <w:tc>
          <w:tcPr>
            <w:tcW w:w="3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3"/>
              </w:rPr>
              <w:t>Earnings</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80" w:type="dxa"/>
            <w:vAlign w:val="bottom"/>
            <w:gridSpan w:val="3"/>
            <w:vMerge w:val="continue"/>
          </w:tcPr>
          <w:p>
            <w:pPr>
              <w:spacing w:after="0"/>
              <w:rPr>
                <w:sz w:val="13"/>
                <w:szCs w:val="13"/>
                <w:color w:val="auto"/>
              </w:rPr>
            </w:pPr>
          </w:p>
        </w:tc>
        <w:tc>
          <w:tcPr>
            <w:tcW w:w="3460" w:type="dxa"/>
            <w:vAlign w:val="bottom"/>
            <w:gridSpan w:val="2"/>
          </w:tcPr>
          <w:p>
            <w:pPr>
              <w:jc w:val="center"/>
              <w:ind w:left="2614"/>
              <w:spacing w:after="0" w:line="156"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3"/>
                <w:szCs w:val="13"/>
                <w:color w:val="auto"/>
              </w:rPr>
            </w:pPr>
          </w:p>
        </w:tc>
        <w:tc>
          <w:tcPr>
            <w:tcW w:w="540" w:type="dxa"/>
            <w:vAlign w:val="bottom"/>
          </w:tcPr>
          <w:p>
            <w:pPr>
              <w:ind w:left="100"/>
              <w:spacing w:after="0" w:line="156" w:lineRule="exact"/>
              <w:rPr>
                <w:sz w:val="20"/>
                <w:szCs w:val="20"/>
                <w:color w:val="auto"/>
              </w:rPr>
            </w:pPr>
            <w:r>
              <w:rPr>
                <w:rFonts w:ascii="Arial" w:cs="Arial" w:eastAsia="Arial" w:hAnsi="Arial"/>
                <w:sz w:val="14"/>
                <w:szCs w:val="14"/>
                <w:b w:val="1"/>
                <w:bCs w:val="1"/>
                <w:color w:val="auto"/>
              </w:rPr>
              <w:t>($)(1)</w:t>
            </w:r>
          </w:p>
        </w:tc>
        <w:tc>
          <w:tcPr>
            <w:tcW w:w="1260" w:type="dxa"/>
            <w:vAlign w:val="bottom"/>
            <w:gridSpan w:val="2"/>
          </w:tcPr>
          <w:p>
            <w:pPr>
              <w:jc w:val="center"/>
              <w:ind w:left="303"/>
              <w:spacing w:after="0" w:line="156"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3"/>
                <w:szCs w:val="13"/>
                <w:color w:val="auto"/>
              </w:rPr>
            </w:pPr>
          </w:p>
        </w:tc>
        <w:tc>
          <w:tcPr>
            <w:tcW w:w="640" w:type="dxa"/>
            <w:vAlign w:val="bottom"/>
          </w:tcPr>
          <w:p>
            <w:pPr>
              <w:jc w:val="right"/>
              <w:ind w:right="154"/>
              <w:spacing w:after="0" w:line="156"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Cheryl K. Beebe</w:t>
            </w:r>
          </w:p>
        </w:tc>
        <w:tc>
          <w:tcPr>
            <w:tcW w:w="27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185,000</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ind w:left="60"/>
              <w:spacing w:after="0" w:line="200" w:lineRule="exact"/>
              <w:rPr>
                <w:sz w:val="20"/>
                <w:szCs w:val="20"/>
                <w:color w:val="auto"/>
              </w:rPr>
            </w:pPr>
            <w:r>
              <w:rPr>
                <w:rFonts w:ascii="Arial" w:cs="Arial" w:eastAsia="Arial" w:hAnsi="Arial"/>
                <w:sz w:val="18"/>
                <w:szCs w:val="18"/>
                <w:color w:val="auto"/>
                <w:w w:val="83"/>
              </w:rPr>
              <w:t>80,041</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0"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2"/>
              </w:rPr>
              <w:t>265,041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Duane C. Farrington</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3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80,041</w:t>
            </w:r>
          </w:p>
        </w:tc>
        <w:tc>
          <w:tcPr>
            <w:tcW w:w="38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245,041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Donna A. Harman</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80,041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Robert C. Lyons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3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80,041</w:t>
            </w:r>
          </w:p>
        </w:tc>
        <w:tc>
          <w:tcPr>
            <w:tcW w:w="38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245,041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P. Maurer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80,041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245,041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Samuel M. Mencoff</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3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80,041</w:t>
            </w:r>
          </w:p>
        </w:tc>
        <w:tc>
          <w:tcPr>
            <w:tcW w:w="38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265,041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Roger B. Porter</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80,041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Paul T. Stecko</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38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80,041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27,351</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272,392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 Souleles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80,041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245,041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James D. Woodrum</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185,000</w:t>
            </w:r>
          </w:p>
        </w:tc>
        <w:tc>
          <w:tcPr>
            <w:tcW w:w="38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80,041</w:t>
            </w:r>
          </w:p>
        </w:tc>
        <w:tc>
          <w:tcPr>
            <w:tcW w:w="380" w:type="dxa"/>
            <w:vAlign w:val="bottom"/>
          </w:tcPr>
          <w:p>
            <w:pPr>
              <w:spacing w:after="0"/>
              <w:rPr>
                <w:sz w:val="19"/>
                <w:szCs w:val="19"/>
                <w:color w:val="auto"/>
              </w:rPr>
            </w:pP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265,041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531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43" w:lineRule="exact"/>
        <w:rPr>
          <w:sz w:val="20"/>
          <w:szCs w:val="20"/>
          <w:color w:val="auto"/>
        </w:rPr>
      </w:pPr>
    </w:p>
    <w:p>
      <w:pPr>
        <w:ind w:left="440" w:hanging="433"/>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stock awards are fully vested at the time of award.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80"/>
          </w:cols>
          <w:pgMar w:left="500" w:top="274" w:right="5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Description of Fee Arrangements</w:t>
      </w:r>
    </w:p>
    <w:p>
      <w:pPr>
        <w:spacing w:after="0" w:line="119" w:lineRule="exact"/>
        <w:rPr>
          <w:sz w:val="20"/>
          <w:szCs w:val="20"/>
          <w:color w:val="auto"/>
        </w:rPr>
      </w:pPr>
    </w:p>
    <w:p>
      <w:pPr>
        <w:ind w:right="200" w:firstLine="435"/>
        <w:spacing w:after="0" w:line="257" w:lineRule="auto"/>
        <w:rPr>
          <w:sz w:val="20"/>
          <w:szCs w:val="20"/>
          <w:color w:val="auto"/>
        </w:rPr>
      </w:pPr>
      <w:r>
        <w:rPr>
          <w:rFonts w:ascii="Arial" w:cs="Arial" w:eastAsia="Arial" w:hAnsi="Arial"/>
          <w:sz w:val="18"/>
          <w:szCs w:val="18"/>
          <w:color w:val="auto"/>
        </w:rPr>
        <w:t>Each non-management director receives annual fees of $245,000, of which $165,000 is paid in cash in quarterly installments and a number of fully vested shares of stock equal to $80,000, as valued on the date of the annual meeting of stockholders and rounded to the nearest whole share. The lead director and committee chairs receive additional annual cash fees of $20,000.</w:t>
      </w:r>
    </w:p>
    <w:p>
      <w:pPr>
        <w:spacing w:after="0" w:line="188" w:lineRule="exact"/>
        <w:rPr>
          <w:sz w:val="20"/>
          <w:szCs w:val="20"/>
          <w:color w:val="auto"/>
        </w:rPr>
      </w:pPr>
    </w:p>
    <w:p>
      <w:pPr>
        <w:ind w:right="80" w:firstLine="435"/>
        <w:spacing w:after="0" w:line="267" w:lineRule="auto"/>
        <w:rPr>
          <w:sz w:val="20"/>
          <w:szCs w:val="20"/>
          <w:color w:val="auto"/>
        </w:rPr>
      </w:pPr>
      <w:r>
        <w:rPr>
          <w:rFonts w:ascii="Arial" w:cs="Arial" w:eastAsia="Arial" w:hAnsi="Arial"/>
          <w:sz w:val="18"/>
          <w:szCs w:val="18"/>
          <w:color w:val="auto"/>
        </w:rPr>
        <w:t>Each non-management director was awarded 527 fully vested shares on May 4, 2021, on which date the closing price of PCA’s common stock on the New York Stock Exchange was $151.88.</w:t>
      </w:r>
    </w:p>
    <w:p>
      <w:pPr>
        <w:spacing w:after="0" w:line="73" w:lineRule="exact"/>
        <w:rPr>
          <w:sz w:val="20"/>
          <w:szCs w:val="20"/>
          <w:color w:val="auto"/>
        </w:rPr>
      </w:pPr>
    </w:p>
    <w:p>
      <w:pPr>
        <w:ind w:right="40" w:firstLine="435"/>
        <w:spacing w:after="0" w:line="253" w:lineRule="auto"/>
        <w:rPr>
          <w:sz w:val="20"/>
          <w:szCs w:val="20"/>
          <w:color w:val="auto"/>
        </w:rPr>
      </w:pPr>
      <w:r>
        <w:rPr>
          <w:rFonts w:ascii="Arial" w:cs="Arial" w:eastAsia="Arial" w:hAnsi="Arial"/>
          <w:sz w:val="18"/>
          <w:szCs w:val="18"/>
          <w:color w:val="auto"/>
        </w:rPr>
        <w:t>We annually review our director fees against our compensation peer group. Our compensation consultant, Meridian Compensation Partners, prepares an annual survey showing the amounts and fee structures of the members of the peer group used for comparing the executive officer compensation, as described under “Compensation Discussion &amp; Analysis-Comparative Assessments.” The committee reviewed the survey that assessed 2020 director fees paid by the peer group companies.</w:t>
      </w:r>
    </w:p>
    <w:p>
      <w:pPr>
        <w:spacing w:after="0" w:line="86" w:lineRule="exact"/>
        <w:rPr>
          <w:sz w:val="20"/>
          <w:szCs w:val="20"/>
          <w:color w:val="auto"/>
        </w:rPr>
      </w:pPr>
    </w:p>
    <w:p>
      <w:pPr>
        <w:ind w:firstLine="435"/>
        <w:spacing w:after="0" w:line="305" w:lineRule="auto"/>
        <w:rPr>
          <w:sz w:val="20"/>
          <w:szCs w:val="20"/>
          <w:color w:val="auto"/>
        </w:rPr>
      </w:pPr>
      <w:r>
        <w:rPr>
          <w:rFonts w:ascii="Arial" w:cs="Arial" w:eastAsia="Arial" w:hAnsi="Arial"/>
          <w:sz w:val="16"/>
          <w:szCs w:val="16"/>
          <w:color w:val="auto"/>
        </w:rPr>
        <w:t>Our approved annual director compensation in 2020 was at approximately the 25</w:t>
      </w:r>
      <w:r>
        <w:rPr>
          <w:rFonts w:ascii="Arial" w:cs="Arial" w:eastAsia="Arial" w:hAnsi="Arial"/>
          <w:sz w:val="13"/>
          <w:szCs w:val="13"/>
          <w:color w:val="auto"/>
        </w:rPr>
        <w:t>th</w:t>
      </w:r>
      <w:r>
        <w:rPr>
          <w:rFonts w:ascii="Arial" w:cs="Arial" w:eastAsia="Arial" w:hAnsi="Arial"/>
          <w:sz w:val="16"/>
          <w:szCs w:val="16"/>
          <w:color w:val="auto"/>
        </w:rPr>
        <w:t xml:space="preserve"> percentile of the peer group. We did not make any changes to our director compensation during 2021. Our compensation committee leads the annual review of director compensation and survey information. The full board approves director fees. Our shareholder-approved equity incentive plan includes a limit on outside director compensation of $650,000 per year.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Benefits as of December 31, 2021</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jc w:val="center"/>
              <w:ind w:left="609"/>
              <w:spacing w:after="0"/>
              <w:rPr>
                <w:sz w:val="20"/>
                <w:szCs w:val="20"/>
                <w:color w:val="auto"/>
              </w:rPr>
            </w:pPr>
            <w:r>
              <w:rPr>
                <w:rFonts w:ascii="Arial" w:cs="Arial" w:eastAsia="Arial" w:hAnsi="Arial"/>
                <w:sz w:val="14"/>
                <w:szCs w:val="14"/>
                <w:b w:val="1"/>
                <w:bCs w:val="1"/>
                <w:color w:val="auto"/>
                <w:w w:val="91"/>
              </w:rPr>
              <w:t>Number of Years</w:t>
            </w:r>
          </w:p>
        </w:tc>
        <w:tc>
          <w:tcPr>
            <w:tcW w:w="7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Present Value</w:t>
            </w:r>
          </w:p>
        </w:tc>
        <w:tc>
          <w:tcPr>
            <w:tcW w:w="1820" w:type="dxa"/>
            <w:vAlign w:val="bottom"/>
            <w:gridSpan w:val="3"/>
          </w:tcPr>
          <w:p>
            <w:pPr>
              <w:jc w:val="center"/>
              <w:ind w:left="569"/>
              <w:spacing w:after="0"/>
              <w:rPr>
                <w:sz w:val="20"/>
                <w:szCs w:val="20"/>
                <w:color w:val="auto"/>
              </w:rPr>
            </w:pPr>
            <w:r>
              <w:rPr>
                <w:rFonts w:ascii="Arial" w:cs="Arial" w:eastAsia="Arial" w:hAnsi="Arial"/>
                <w:sz w:val="14"/>
                <w:szCs w:val="14"/>
                <w:b w:val="1"/>
                <w:bCs w:val="1"/>
                <w:color w:val="auto"/>
                <w:w w:val="92"/>
              </w:rPr>
              <w:t>Payments During</w:t>
            </w:r>
          </w:p>
        </w:tc>
        <w:tc>
          <w:tcPr>
            <w:tcW w:w="0" w:type="dxa"/>
            <w:vAlign w:val="bottom"/>
          </w:tcPr>
          <w:p>
            <w:pPr>
              <w:spacing w:after="0"/>
              <w:rPr>
                <w:sz w:val="1"/>
                <w:szCs w:val="1"/>
                <w:color w:val="auto"/>
              </w:rPr>
            </w:pPr>
          </w:p>
        </w:tc>
      </w:tr>
      <w:tr>
        <w:trPr>
          <w:trHeight w:val="147"/>
        </w:trPr>
        <w:tc>
          <w:tcPr>
            <w:tcW w:w="2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Plan Name</w:t>
            </w:r>
          </w:p>
        </w:tc>
        <w:tc>
          <w:tcPr>
            <w:tcW w:w="72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Credited Service</w:t>
            </w:r>
          </w:p>
        </w:tc>
        <w:tc>
          <w:tcPr>
            <w:tcW w:w="1660" w:type="dxa"/>
            <w:vAlign w:val="bottom"/>
            <w:gridSpan w:val="2"/>
          </w:tcPr>
          <w:p>
            <w:pPr>
              <w:jc w:val="center"/>
              <w:ind w:left="629"/>
              <w:spacing w:after="0" w:line="147" w:lineRule="exact"/>
              <w:rPr>
                <w:sz w:val="20"/>
                <w:szCs w:val="20"/>
                <w:color w:val="auto"/>
              </w:rPr>
            </w:pPr>
            <w:r>
              <w:rPr>
                <w:rFonts w:ascii="Arial" w:cs="Arial" w:eastAsia="Arial" w:hAnsi="Arial"/>
                <w:sz w:val="14"/>
                <w:szCs w:val="14"/>
                <w:b w:val="1"/>
                <w:bCs w:val="1"/>
                <w:color w:val="auto"/>
                <w:w w:val="91"/>
              </w:rPr>
              <w:t>of Accumulated</w:t>
            </w:r>
          </w:p>
        </w:tc>
        <w:tc>
          <w:tcPr>
            <w:tcW w:w="700" w:type="dxa"/>
            <w:vAlign w:val="bottom"/>
          </w:tcPr>
          <w:p>
            <w:pPr>
              <w:spacing w:after="0"/>
              <w:rPr>
                <w:sz w:val="12"/>
                <w:szCs w:val="12"/>
                <w:color w:val="auto"/>
              </w:rPr>
            </w:pPr>
          </w:p>
        </w:tc>
        <w:tc>
          <w:tcPr>
            <w:tcW w:w="112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Last Fiscal</w:t>
            </w:r>
          </w:p>
        </w:tc>
        <w:tc>
          <w:tcPr>
            <w:tcW w:w="0" w:type="dxa"/>
            <w:vAlign w:val="bottom"/>
          </w:tcPr>
          <w:p>
            <w:pPr>
              <w:spacing w:after="0"/>
              <w:rPr>
                <w:sz w:val="1"/>
                <w:szCs w:val="1"/>
                <w:color w:val="auto"/>
              </w:rPr>
            </w:pPr>
          </w:p>
        </w:tc>
      </w:tr>
      <w:tr>
        <w:trPr>
          <w:trHeight w:val="156"/>
        </w:trPr>
        <w:tc>
          <w:tcPr>
            <w:tcW w:w="2560" w:type="dxa"/>
            <w:vAlign w:val="bottom"/>
            <w:gridSpan w:val="3"/>
            <w:vMerge w:val="continue"/>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1740" w:type="dxa"/>
            <w:vAlign w:val="bottom"/>
            <w:gridSpan w:val="2"/>
          </w:tcPr>
          <w:p>
            <w:pPr>
              <w:jc w:val="center"/>
              <w:ind w:left="629"/>
              <w:spacing w:after="0" w:line="156"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Benefit ($)</w:t>
            </w:r>
          </w:p>
        </w:tc>
        <w:tc>
          <w:tcPr>
            <w:tcW w:w="700" w:type="dxa"/>
            <w:vAlign w:val="bottom"/>
          </w:tcPr>
          <w:p>
            <w:pPr>
              <w:spacing w:after="0"/>
              <w:rPr>
                <w:sz w:val="13"/>
                <w:szCs w:val="13"/>
                <w:color w:val="auto"/>
              </w:rPr>
            </w:pPr>
          </w:p>
        </w:tc>
        <w:tc>
          <w:tcPr>
            <w:tcW w:w="1120" w:type="dxa"/>
            <w:vAlign w:val="bottom"/>
            <w:gridSpan w:val="2"/>
          </w:tcPr>
          <w:p>
            <w:pPr>
              <w:jc w:val="center"/>
              <w:ind w:right="40"/>
              <w:spacing w:after="0" w:line="156" w:lineRule="exact"/>
              <w:rPr>
                <w:sz w:val="20"/>
                <w:szCs w:val="20"/>
                <w:color w:val="auto"/>
              </w:rPr>
            </w:pPr>
            <w:r>
              <w:rPr>
                <w:rFonts w:ascii="Arial" w:cs="Arial" w:eastAsia="Arial" w:hAnsi="Arial"/>
                <w:sz w:val="14"/>
                <w:szCs w:val="14"/>
                <w:b w:val="1"/>
                <w:bCs w:val="1"/>
                <w:color w:val="auto"/>
                <w:w w:val="93"/>
              </w:rPr>
              <w:t>Year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5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Paul T. Stecko</w:t>
            </w:r>
          </w:p>
        </w:tc>
        <w:tc>
          <w:tcPr>
            <w:tcW w:w="1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Plan 1</w:t>
            </w:r>
          </w:p>
        </w:tc>
        <w:tc>
          <w:tcPr>
            <w:tcW w:w="7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14.71</w:t>
            </w: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511,889</w:t>
            </w:r>
          </w:p>
        </w:tc>
        <w:tc>
          <w:tcPr>
            <w:tcW w:w="7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51,239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435"/>
        <w:spacing w:after="0" w:line="304" w:lineRule="auto"/>
        <w:rPr>
          <w:sz w:val="20"/>
          <w:szCs w:val="20"/>
          <w:color w:val="auto"/>
        </w:rPr>
      </w:pPr>
      <w:r>
        <w:rPr>
          <w:rFonts w:ascii="Arial" w:cs="Arial" w:eastAsia="Arial" w:hAnsi="Arial"/>
          <w:sz w:val="16"/>
          <w:szCs w:val="16"/>
          <w:color w:val="auto"/>
        </w:rPr>
        <w:t>Mr. Stecko retired as an officer of PCA at the end of 2013 and has continued to serve on our board of directors since his retirement. While he was employed by PCA, Mr. Stecko participated in the PCA Pension Plan described in Notes 1 and 2 to the “Pension Benefits as of December 31, 2021” table above. He did not participate in the SERP. He had 14.71 years of service under the plan through his retirement on December 30, 2013.</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60"/>
          </w:cols>
          <w:pgMar w:left="500" w:top="268" w:right="539" w:bottom="1440" w:gutter="0" w:footer="0" w:header="0"/>
        </w:sectPr>
      </w:pPr>
    </w:p>
    <w:bookmarkStart w:id="41" w:name="page42"/>
    <w:bookmarkEnd w:id="4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CHIEF EXECUTIVE OFFICER PAY RATIO</w:t>
      </w:r>
    </w:p>
    <w:p>
      <w:pPr>
        <w:spacing w:after="0" w:line="225" w:lineRule="exact"/>
        <w:rPr>
          <w:sz w:val="20"/>
          <w:szCs w:val="20"/>
          <w:color w:val="auto"/>
        </w:rPr>
      </w:pPr>
    </w:p>
    <w:p>
      <w:pPr>
        <w:ind w:right="420" w:firstLine="435"/>
        <w:spacing w:after="0" w:line="267" w:lineRule="auto"/>
        <w:rPr>
          <w:sz w:val="20"/>
          <w:szCs w:val="20"/>
          <w:color w:val="auto"/>
        </w:rPr>
      </w:pPr>
      <w:r>
        <w:rPr>
          <w:rFonts w:ascii="Arial" w:cs="Arial" w:eastAsia="Arial" w:hAnsi="Arial"/>
          <w:sz w:val="18"/>
          <w:szCs w:val="18"/>
          <w:color w:val="auto"/>
        </w:rPr>
        <w:t>As disclosed in “Executive and Director Compensation—Summary Compensation Table,” the 2021 annual total compensation of our chief executive officer, Mark W. Kowlzan, was $12,157,313.</w:t>
      </w:r>
    </w:p>
    <w:p>
      <w:pPr>
        <w:spacing w:after="0" w:line="179" w:lineRule="exact"/>
        <w:rPr>
          <w:sz w:val="20"/>
          <w:szCs w:val="20"/>
          <w:color w:val="auto"/>
        </w:rPr>
      </w:pPr>
    </w:p>
    <w:p>
      <w:pPr>
        <w:ind w:firstLine="435"/>
        <w:spacing w:after="0" w:line="268" w:lineRule="auto"/>
        <w:rPr>
          <w:sz w:val="20"/>
          <w:szCs w:val="20"/>
          <w:color w:val="auto"/>
        </w:rPr>
      </w:pPr>
      <w:r>
        <w:rPr>
          <w:rFonts w:ascii="Arial" w:cs="Arial" w:eastAsia="Arial" w:hAnsi="Arial"/>
          <w:sz w:val="17"/>
          <w:szCs w:val="17"/>
          <w:color w:val="auto"/>
        </w:rPr>
        <w:t>The 2021 annual total compensation of our median employee, as calculated in accordance with the requirements of Item 402 (c)(2)(x) of Regulation S-K, was $78,062. Our median employee was identified as of December 31, 2021 using gross earnings for our domestic employees as provided by our payroll system, at which time we had 15,230 employees substantially all of whom are domestic. As permitted under applicable rules, we omitted our foreign employees from the determination, as our number of foreign employees is less than 5% of our total number of employees. As a result, we excluded approximately 15 Hong Kong employees. We annualized compensation for employees hired during the year. We did not otherwise make adjustments or estimates in connection with our determination of the median employee.</w:t>
      </w:r>
    </w:p>
    <w:p>
      <w:pPr>
        <w:spacing w:after="0" w:line="183" w:lineRule="exact"/>
        <w:rPr>
          <w:sz w:val="20"/>
          <w:szCs w:val="20"/>
          <w:color w:val="auto"/>
        </w:rPr>
      </w:pPr>
    </w:p>
    <w:p>
      <w:pPr>
        <w:ind w:right="100" w:firstLine="435"/>
        <w:spacing w:after="0" w:line="267" w:lineRule="auto"/>
        <w:rPr>
          <w:sz w:val="20"/>
          <w:szCs w:val="20"/>
          <w:color w:val="auto"/>
        </w:rPr>
      </w:pPr>
      <w:r>
        <w:rPr>
          <w:rFonts w:ascii="Arial" w:cs="Arial" w:eastAsia="Arial" w:hAnsi="Arial"/>
          <w:sz w:val="18"/>
          <w:szCs w:val="18"/>
          <w:color w:val="auto"/>
        </w:rPr>
        <w:t>The 2021 ratio of the annual total compensation of our chief executive officer to the median of the annual total compensation of our employees was 155.7.</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20"/>
          </w:cols>
          <w:pgMar w:left="500" w:top="268" w:right="67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OWNERSHIP OF OUR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regarding beneficial ownership of our common stock as of February 28, 2022:</w:t>
      </w:r>
    </w:p>
    <w:p>
      <w:pPr>
        <w:spacing w:after="0" w:line="126" w:lineRule="exact"/>
        <w:rPr>
          <w:sz w:val="20"/>
          <w:szCs w:val="20"/>
          <w:color w:val="auto"/>
        </w:rPr>
      </w:pPr>
    </w:p>
    <w:p>
      <w:pPr>
        <w:ind w:left="960" w:hanging="42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person or group known by us to own beneficially more than 5% or more of our outstanding common stock;</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current directors, nominees for director, our chief executive officer and the other named executive officers; and</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directors, nominees and executive officers as a group.</w:t>
      </w:r>
    </w:p>
    <w:p>
      <w:pPr>
        <w:spacing w:after="0" w:line="219"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Beneficial ownership is determined in accordance with Rule 13d-3 under the Securities Exchange Act of 1934. A person is deemed to be the beneficial owner of any shares of common stock if such person has or shares the right to vote or dispose of such common stock, or has the right to acquire beneficial ownership at any time within 60 days of the date of the table. Percentage ownership is based upon 93,703,815 shares outstanding on February 28, 2022.</w:t>
      </w:r>
    </w:p>
    <w:p>
      <w:pPr>
        <w:spacing w:after="0" w:line="19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6"/>
        </w:trPr>
        <w:tc>
          <w:tcPr>
            <w:tcW w:w="7800" w:type="dxa"/>
            <w:vAlign w:val="bottom"/>
            <w:gridSpan w:val="3"/>
            <w:vMerge w:val="continue"/>
          </w:tcPr>
          <w:p>
            <w:pPr>
              <w:spacing w:after="0"/>
              <w:rPr>
                <w:sz w:val="15"/>
                <w:szCs w:val="15"/>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b w:val="1"/>
                <w:bCs w:val="1"/>
                <w:color w:val="auto"/>
                <w:w w:val="93"/>
              </w:rPr>
              <w:t>Shares Held</w:t>
            </w:r>
          </w:p>
        </w:tc>
        <w:tc>
          <w:tcPr>
            <w:tcW w:w="540" w:type="dxa"/>
            <w:vAlign w:val="bottom"/>
          </w:tcPr>
          <w:p>
            <w:pPr>
              <w:spacing w:after="0"/>
              <w:rPr>
                <w:sz w:val="15"/>
                <w:szCs w:val="15"/>
                <w:color w:val="auto"/>
              </w:rPr>
            </w:pPr>
          </w:p>
        </w:tc>
        <w:tc>
          <w:tcPr>
            <w:tcW w:w="820" w:type="dxa"/>
            <w:vAlign w:val="bottom"/>
            <w:gridSpan w:val="2"/>
          </w:tcPr>
          <w:p>
            <w:pPr>
              <w:jc w:val="center"/>
              <w:ind w:right="111"/>
              <w:spacing w:after="0" w:line="156" w:lineRule="exact"/>
              <w:rPr>
                <w:sz w:val="20"/>
                <w:szCs w:val="20"/>
                <w:color w:val="auto"/>
              </w:rPr>
            </w:pPr>
            <w:r>
              <w:rPr>
                <w:rFonts w:ascii="Arial" w:cs="Arial" w:eastAsia="Arial" w:hAnsi="Arial"/>
                <w:sz w:val="14"/>
                <w:szCs w:val="14"/>
                <w:b w:val="1"/>
                <w:bCs w:val="1"/>
                <w:color w:val="auto"/>
                <w:w w:val="90"/>
              </w:rPr>
              <w:t>Class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tcBorders>
              <w:top w:val="single" w:sz="8" w:color="auto"/>
            </w:tcBorders>
            <w:shd w:val="clear" w:color="auto" w:fill="CCEEFF"/>
          </w:tcPr>
          <w:p>
            <w:pPr>
              <w:spacing w:after="0" w:line="174" w:lineRule="exact"/>
              <w:rPr>
                <w:sz w:val="20"/>
                <w:szCs w:val="20"/>
                <w:color w:val="auto"/>
              </w:rPr>
            </w:pPr>
            <w:r>
              <w:rPr>
                <w:rFonts w:ascii="Arial" w:cs="Arial" w:eastAsia="Arial" w:hAnsi="Arial"/>
                <w:sz w:val="18"/>
                <w:szCs w:val="18"/>
                <w:color w:val="auto"/>
                <w:w w:val="93"/>
              </w:rPr>
              <w:t>The Vanguard Group</w:t>
            </w:r>
          </w:p>
        </w:tc>
        <w:tc>
          <w:tcPr>
            <w:tcW w:w="6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8"/>
                <w:szCs w:val="18"/>
                <w:color w:val="auto"/>
                <w:w w:val="90"/>
              </w:rPr>
              <w:t>11,886,212</w:t>
            </w:r>
          </w:p>
        </w:tc>
        <w:tc>
          <w:tcPr>
            <w:tcW w:w="5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4" w:lineRule="exact"/>
              <w:rPr>
                <w:sz w:val="20"/>
                <w:szCs w:val="20"/>
                <w:color w:val="auto"/>
              </w:rPr>
            </w:pPr>
            <w:r>
              <w:rPr>
                <w:rFonts w:ascii="Arial" w:cs="Arial" w:eastAsia="Arial" w:hAnsi="Arial"/>
                <w:sz w:val="18"/>
                <w:szCs w:val="18"/>
                <w:color w:val="auto"/>
              </w:rPr>
              <w:t>12.7</w:t>
            </w:r>
          </w:p>
        </w:tc>
        <w:tc>
          <w:tcPr>
            <w:tcW w:w="200" w:type="dxa"/>
            <w:vAlign w:val="bottom"/>
            <w:tcBorders>
              <w:top w:val="single" w:sz="8" w:color="CCEEFF"/>
            </w:tcBorders>
            <w:shd w:val="clear" w:color="auto" w:fill="CCEEFF"/>
          </w:tcPr>
          <w:p>
            <w:pPr>
              <w:jc w:val="right"/>
              <w:spacing w:after="0" w:line="174"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Vanguard Blvd.</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Malvern PA, 19355(1)</w:t>
            </w: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780" w:type="dxa"/>
            <w:vAlign w:val="bottom"/>
            <w:gridSpan w:val="2"/>
          </w:tcPr>
          <w:p>
            <w:pPr>
              <w:spacing w:after="0" w:line="200" w:lineRule="exact"/>
              <w:rPr>
                <w:sz w:val="20"/>
                <w:szCs w:val="20"/>
                <w:color w:val="auto"/>
              </w:rPr>
            </w:pPr>
            <w:r>
              <w:rPr>
                <w:rFonts w:ascii="Arial" w:cs="Arial" w:eastAsia="Arial" w:hAnsi="Arial"/>
                <w:sz w:val="18"/>
                <w:szCs w:val="18"/>
                <w:color w:val="auto"/>
              </w:rPr>
              <w:t>BlackRock, Inc</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7,934,846</w:t>
            </w:r>
          </w:p>
        </w:tc>
        <w:tc>
          <w:tcPr>
            <w:tcW w:w="11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8.5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gridSpan w:val="2"/>
          </w:tcPr>
          <w:p>
            <w:pPr>
              <w:ind w:left="160"/>
              <w:spacing w:after="0"/>
              <w:rPr>
                <w:sz w:val="20"/>
                <w:szCs w:val="20"/>
                <w:color w:val="auto"/>
              </w:rPr>
            </w:pPr>
            <w:r>
              <w:rPr>
                <w:rFonts w:ascii="Arial" w:cs="Arial" w:eastAsia="Arial" w:hAnsi="Arial"/>
                <w:sz w:val="18"/>
                <w:szCs w:val="18"/>
                <w:color w:val="auto"/>
              </w:rPr>
              <w:t>New York, NY 10055(2)</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5,142,564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E. Pratt Street</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Baltimore, MD 21202(3)</w:t>
            </w: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Mark W. Kowlzan(4)</w:t>
            </w:r>
          </w:p>
        </w:tc>
        <w:tc>
          <w:tcPr>
            <w:tcW w:w="840" w:type="dxa"/>
            <w:vAlign w:val="bottom"/>
          </w:tcPr>
          <w:p>
            <w:pPr>
              <w:jc w:val="right"/>
              <w:spacing w:after="0"/>
              <w:rPr>
                <w:sz w:val="20"/>
                <w:szCs w:val="20"/>
                <w:color w:val="auto"/>
              </w:rPr>
            </w:pPr>
            <w:r>
              <w:rPr>
                <w:rFonts w:ascii="Arial" w:cs="Arial" w:eastAsia="Arial" w:hAnsi="Arial"/>
                <w:sz w:val="18"/>
                <w:szCs w:val="18"/>
                <w:color w:val="auto"/>
              </w:rPr>
              <w:t>476,121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600" w:type="dxa"/>
            <w:vAlign w:val="bottom"/>
          </w:tcPr>
          <w:p>
            <w:pPr>
              <w:spacing w:after="0"/>
              <w:rPr>
                <w:sz w:val="3"/>
                <w:szCs w:val="3"/>
                <w:color w:val="auto"/>
              </w:rPr>
            </w:pPr>
          </w:p>
        </w:tc>
        <w:tc>
          <w:tcPr>
            <w:tcW w:w="6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Hassfurther(5)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286,528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800" w:type="dxa"/>
            <w:vAlign w:val="bottom"/>
            <w:gridSpan w:val="3"/>
          </w:tcPr>
          <w:p>
            <w:pPr>
              <w:spacing w:after="0"/>
              <w:rPr>
                <w:sz w:val="20"/>
                <w:szCs w:val="20"/>
                <w:color w:val="auto"/>
              </w:rPr>
            </w:pPr>
            <w:r>
              <w:rPr>
                <w:rFonts w:ascii="Arial" w:cs="Arial" w:eastAsia="Arial" w:hAnsi="Arial"/>
                <w:sz w:val="18"/>
                <w:szCs w:val="18"/>
                <w:color w:val="auto"/>
              </w:rPr>
              <w:t>Robert P. Mundy (6)</w:t>
            </w:r>
          </w:p>
        </w:tc>
        <w:tc>
          <w:tcPr>
            <w:tcW w:w="840" w:type="dxa"/>
            <w:vAlign w:val="bottom"/>
          </w:tcPr>
          <w:p>
            <w:pPr>
              <w:jc w:val="right"/>
              <w:spacing w:after="0"/>
              <w:rPr>
                <w:sz w:val="20"/>
                <w:szCs w:val="20"/>
                <w:color w:val="auto"/>
              </w:rPr>
            </w:pPr>
            <w:r>
              <w:rPr>
                <w:rFonts w:ascii="Arial" w:cs="Arial" w:eastAsia="Arial" w:hAnsi="Arial"/>
                <w:sz w:val="18"/>
                <w:szCs w:val="18"/>
                <w:color w:val="auto"/>
              </w:rPr>
              <w:t>52,599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J. Carter(7)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800" w:type="dxa"/>
            <w:vAlign w:val="bottom"/>
            <w:gridSpan w:val="3"/>
          </w:tcPr>
          <w:p>
            <w:pPr>
              <w:spacing w:after="0"/>
              <w:rPr>
                <w:sz w:val="20"/>
                <w:szCs w:val="20"/>
                <w:color w:val="auto"/>
              </w:rPr>
            </w:pPr>
            <w:r>
              <w:rPr>
                <w:rFonts w:ascii="Arial" w:cs="Arial" w:eastAsia="Arial" w:hAnsi="Arial"/>
                <w:sz w:val="18"/>
                <w:szCs w:val="18"/>
                <w:color w:val="auto"/>
              </w:rPr>
              <w:t>D. Ray Shirley(8)</w:t>
            </w:r>
          </w:p>
        </w:tc>
        <w:tc>
          <w:tcPr>
            <w:tcW w:w="840" w:type="dxa"/>
            <w:vAlign w:val="bottom"/>
          </w:tcPr>
          <w:p>
            <w:pPr>
              <w:jc w:val="right"/>
              <w:spacing w:after="0"/>
              <w:rPr>
                <w:sz w:val="20"/>
                <w:szCs w:val="20"/>
                <w:color w:val="auto"/>
              </w:rPr>
            </w:pPr>
            <w:r>
              <w:rPr>
                <w:rFonts w:ascii="Arial" w:cs="Arial" w:eastAsia="Arial" w:hAnsi="Arial"/>
                <w:sz w:val="18"/>
                <w:szCs w:val="18"/>
                <w:color w:val="auto"/>
              </w:rPr>
              <w:t>23,919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T. Stecko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800" w:type="dxa"/>
            <w:vAlign w:val="bottom"/>
            <w:gridSpan w:val="3"/>
          </w:tcPr>
          <w:p>
            <w:pPr>
              <w:spacing w:after="0"/>
              <w:rPr>
                <w:sz w:val="20"/>
                <w:szCs w:val="20"/>
                <w:color w:val="auto"/>
              </w:rPr>
            </w:pPr>
            <w:r>
              <w:rPr>
                <w:rFonts w:ascii="Arial" w:cs="Arial" w:eastAsia="Arial" w:hAnsi="Arial"/>
                <w:sz w:val="18"/>
                <w:szCs w:val="18"/>
                <w:color w:val="auto"/>
              </w:rPr>
              <w:t>Samuel M. Mencoff(9)</w:t>
            </w:r>
          </w:p>
        </w:tc>
        <w:tc>
          <w:tcPr>
            <w:tcW w:w="840" w:type="dxa"/>
            <w:vAlign w:val="bottom"/>
          </w:tcPr>
          <w:p>
            <w:pPr>
              <w:jc w:val="right"/>
              <w:spacing w:after="0"/>
              <w:rPr>
                <w:sz w:val="20"/>
                <w:szCs w:val="20"/>
                <w:color w:val="auto"/>
              </w:rPr>
            </w:pPr>
            <w:r>
              <w:rPr>
                <w:rFonts w:ascii="Arial" w:cs="Arial" w:eastAsia="Arial" w:hAnsi="Arial"/>
                <w:sz w:val="18"/>
                <w:szCs w:val="18"/>
                <w:color w:val="auto"/>
              </w:rPr>
              <w:t>320,045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Cheryl K. Beebe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800" w:type="dxa"/>
            <w:vAlign w:val="bottom"/>
            <w:gridSpan w:val="3"/>
          </w:tcPr>
          <w:p>
            <w:pPr>
              <w:spacing w:after="0"/>
              <w:rPr>
                <w:sz w:val="20"/>
                <w:szCs w:val="20"/>
                <w:color w:val="auto"/>
              </w:rPr>
            </w:pPr>
            <w:r>
              <w:rPr>
                <w:rFonts w:ascii="Arial" w:cs="Arial" w:eastAsia="Arial" w:hAnsi="Arial"/>
                <w:sz w:val="18"/>
                <w:szCs w:val="18"/>
                <w:color w:val="auto"/>
              </w:rPr>
              <w:t>Duane C. Farrington</w:t>
            </w:r>
          </w:p>
        </w:tc>
        <w:tc>
          <w:tcPr>
            <w:tcW w:w="840" w:type="dxa"/>
            <w:vAlign w:val="bottom"/>
          </w:tcPr>
          <w:p>
            <w:pPr>
              <w:jc w:val="right"/>
              <w:spacing w:after="0"/>
              <w:rPr>
                <w:sz w:val="20"/>
                <w:szCs w:val="20"/>
                <w:color w:val="auto"/>
              </w:rPr>
            </w:pPr>
            <w:r>
              <w:rPr>
                <w:rFonts w:ascii="Arial" w:cs="Arial" w:eastAsia="Arial" w:hAnsi="Arial"/>
                <w:sz w:val="18"/>
                <w:szCs w:val="18"/>
                <w:color w:val="auto"/>
              </w:rPr>
              <w:t>4,254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Donna A. Harman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800" w:type="dxa"/>
            <w:vAlign w:val="bottom"/>
            <w:gridSpan w:val="3"/>
          </w:tcPr>
          <w:p>
            <w:pPr>
              <w:spacing w:after="0"/>
              <w:rPr>
                <w:sz w:val="20"/>
                <w:szCs w:val="20"/>
                <w:color w:val="auto"/>
              </w:rPr>
            </w:pPr>
            <w:r>
              <w:rPr>
                <w:rFonts w:ascii="Arial" w:cs="Arial" w:eastAsia="Arial" w:hAnsi="Arial"/>
                <w:sz w:val="18"/>
                <w:szCs w:val="18"/>
                <w:color w:val="auto"/>
              </w:rPr>
              <w:t>Robert C. Lyons</w:t>
            </w:r>
          </w:p>
        </w:tc>
        <w:tc>
          <w:tcPr>
            <w:tcW w:w="840" w:type="dxa"/>
            <w:vAlign w:val="bottom"/>
          </w:tcPr>
          <w:p>
            <w:pPr>
              <w:jc w:val="right"/>
              <w:spacing w:after="0"/>
              <w:rPr>
                <w:sz w:val="20"/>
                <w:szCs w:val="20"/>
                <w:color w:val="auto"/>
              </w:rPr>
            </w:pPr>
            <w:r>
              <w:rPr>
                <w:rFonts w:ascii="Arial" w:cs="Arial" w:eastAsia="Arial" w:hAnsi="Arial"/>
                <w:sz w:val="18"/>
                <w:szCs w:val="18"/>
                <w:color w:val="auto"/>
              </w:rPr>
              <w:t>10,440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P. Maurer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800" w:type="dxa"/>
            <w:vAlign w:val="bottom"/>
            <w:gridSpan w:val="3"/>
          </w:tcPr>
          <w:p>
            <w:pPr>
              <w:spacing w:after="0"/>
              <w:rPr>
                <w:sz w:val="20"/>
                <w:szCs w:val="20"/>
                <w:color w:val="auto"/>
              </w:rPr>
            </w:pPr>
            <w:r>
              <w:rPr>
                <w:rFonts w:ascii="Arial" w:cs="Arial" w:eastAsia="Arial" w:hAnsi="Arial"/>
                <w:sz w:val="18"/>
                <w:szCs w:val="18"/>
                <w:color w:val="auto"/>
              </w:rPr>
              <w:t>Roger B. Porter</w:t>
            </w:r>
          </w:p>
        </w:tc>
        <w:tc>
          <w:tcPr>
            <w:tcW w:w="840" w:type="dxa"/>
            <w:vAlign w:val="bottom"/>
          </w:tcPr>
          <w:p>
            <w:pPr>
              <w:jc w:val="right"/>
              <w:spacing w:after="0"/>
              <w:rPr>
                <w:sz w:val="20"/>
                <w:szCs w:val="20"/>
                <w:color w:val="auto"/>
              </w:rPr>
            </w:pPr>
            <w:r>
              <w:rPr>
                <w:rFonts w:ascii="Arial" w:cs="Arial" w:eastAsia="Arial" w:hAnsi="Arial"/>
                <w:sz w:val="18"/>
                <w:szCs w:val="18"/>
                <w:color w:val="auto"/>
              </w:rPr>
              <w:t>19,615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 Souleles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7800" w:type="dxa"/>
            <w:vAlign w:val="bottom"/>
            <w:gridSpan w:val="3"/>
          </w:tcPr>
          <w:p>
            <w:pPr>
              <w:spacing w:after="0"/>
              <w:rPr>
                <w:sz w:val="20"/>
                <w:szCs w:val="20"/>
                <w:color w:val="auto"/>
              </w:rPr>
            </w:pPr>
            <w:r>
              <w:rPr>
                <w:rFonts w:ascii="Arial" w:cs="Arial" w:eastAsia="Arial" w:hAnsi="Arial"/>
                <w:sz w:val="18"/>
                <w:szCs w:val="18"/>
                <w:color w:val="auto"/>
              </w:rPr>
              <w:t>James D. Woodrum(10)</w:t>
            </w:r>
          </w:p>
        </w:tc>
        <w:tc>
          <w:tcPr>
            <w:tcW w:w="840" w:type="dxa"/>
            <w:vAlign w:val="bottom"/>
          </w:tcPr>
          <w:p>
            <w:pPr>
              <w:jc w:val="right"/>
              <w:spacing w:after="0"/>
              <w:rPr>
                <w:sz w:val="20"/>
                <w:szCs w:val="20"/>
                <w:color w:val="auto"/>
              </w:rPr>
            </w:pPr>
            <w:r>
              <w:rPr>
                <w:rFonts w:ascii="Arial" w:cs="Arial" w:eastAsia="Arial" w:hAnsi="Arial"/>
                <w:sz w:val="18"/>
                <w:szCs w:val="18"/>
                <w:color w:val="auto"/>
              </w:rPr>
              <w:t>12,615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60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(11) (21 persons)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1,489,485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53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154" w:lineRule="exact"/>
        <w:rPr>
          <w:sz w:val="20"/>
          <w:szCs w:val="20"/>
          <w:color w:val="auto"/>
        </w:rPr>
      </w:pPr>
    </w:p>
    <w:p>
      <w:pPr>
        <w:ind w:left="540" w:hanging="533"/>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Denotes ownership of less than one percent.</w:t>
      </w:r>
    </w:p>
    <w:p>
      <w:pPr>
        <w:spacing w:after="0" w:line="126" w:lineRule="exact"/>
        <w:rPr>
          <w:sz w:val="20"/>
          <w:szCs w:val="20"/>
          <w:color w:val="auto"/>
        </w:rPr>
      </w:pPr>
    </w:p>
    <w:p>
      <w:pPr>
        <w:ind w:left="440" w:hanging="433"/>
        <w:spacing w:after="0" w:line="257"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information was obtained from a Schedule 13G/A filed with the Securities and Exchange Commission on February 10, 2022 by the Vanguard Group, reporting shared voting power over 150,350 shares, sole dispositive power over 11,496,824 shares and shared dispositive power over 389,388 shares.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60"/>
          </w:cols>
          <w:pgMar w:left="500" w:top="268" w:right="539" w:bottom="1440" w:gutter="0" w:footer="0" w:header="0"/>
        </w:sectPr>
      </w:pPr>
    </w:p>
    <w:bookmarkStart w:id="43" w:name="page44"/>
    <w:bookmarkEnd w:id="43"/>
    <w:p>
      <w:pPr>
        <w:ind w:left="440" w:right="160" w:hanging="433"/>
        <w:spacing w:after="0" w:line="26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information was obtained from a Schedule 13G/A filed with the Securities and Exchange Commission on February 1, 2022, by BlackRock, Inc., reporting sole voting power and sole dispositive power over all shares reported.</w:t>
      </w:r>
    </w:p>
    <w:p>
      <w:pPr>
        <w:spacing w:after="0" w:line="85" w:lineRule="exact"/>
        <w:rPr>
          <w:rFonts w:ascii="Arial" w:cs="Arial" w:eastAsia="Arial" w:hAnsi="Arial"/>
          <w:sz w:val="18"/>
          <w:szCs w:val="18"/>
          <w:color w:val="auto"/>
        </w:rPr>
      </w:pPr>
    </w:p>
    <w:p>
      <w:pPr>
        <w:ind w:left="440" w:right="40" w:hanging="433"/>
        <w:spacing w:after="0" w:line="297"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information was obtained from a Schedule 13G/A filed with the Securities and Exchange Commission on January 10, 2022 by T. Rowe Price Associates, Inc., reporting sole voting power over 2,542,913 shares and sole dispositive power over 5,142,564 shares.</w:t>
      </w:r>
    </w:p>
    <w:p>
      <w:pPr>
        <w:spacing w:after="0" w:line="62" w:lineRule="exact"/>
        <w:rPr>
          <w:rFonts w:ascii="Arial" w:cs="Arial" w:eastAsia="Arial" w:hAnsi="Arial"/>
          <w:sz w:val="17"/>
          <w:szCs w:val="17"/>
          <w:color w:val="auto"/>
        </w:rPr>
      </w:pPr>
    </w:p>
    <w:p>
      <w:pPr>
        <w:ind w:left="440" w:right="200" w:hanging="433"/>
        <w:spacing w:after="0" w:line="304"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the number of shares are 351,592 shares not subject to vesting conditions, 107,387 shares of restricted stock or restricted stock units subject to forfeiture under certain conditions and 17,142 shares held in the 401(k) plan. Included in the number of shares not subject to vesting conditions are 2,565 shares held by Mr. Kowlzan’s spouse. Mr. Kowlzan disclaims beneficial ownership of shares held by his spouse.</w:t>
      </w:r>
    </w:p>
    <w:p>
      <w:pPr>
        <w:spacing w:after="0" w:line="60" w:lineRule="exact"/>
        <w:rPr>
          <w:rFonts w:ascii="Arial" w:cs="Arial" w:eastAsia="Arial" w:hAnsi="Arial"/>
          <w:sz w:val="16"/>
          <w:szCs w:val="16"/>
          <w:color w:val="auto"/>
        </w:rPr>
      </w:pPr>
    </w:p>
    <w:p>
      <w:pPr>
        <w:ind w:left="440" w:right="20" w:hanging="433"/>
        <w:spacing w:after="0" w:line="252"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the number of shares are 201,487 shares not subject to vesting conditions, 74,245 shares of restricted stock or restricted stock units subject to forfeiture under certain conditions and 10,796 shares held in the 401(k) plan. Also included in the number of shares not subject to vesting conditions are 53,862 shares held by Mr. Hassfurther’s spouse and 34,293 shares held indirectly through Bears Club Investment LLC, a family investment entity. Mr. Hassfurther disclaims beneficial ownership of shares held by his spouse and by the investment partnership, except to the extent of his pecuniary interest therein.</w:t>
      </w:r>
    </w:p>
    <w:p>
      <w:pPr>
        <w:spacing w:after="0" w:line="99" w:lineRule="exact"/>
        <w:rPr>
          <w:rFonts w:ascii="Arial" w:cs="Arial" w:eastAsia="Arial" w:hAnsi="Arial"/>
          <w:sz w:val="18"/>
          <w:szCs w:val="18"/>
          <w:color w:val="auto"/>
        </w:rPr>
      </w:pPr>
    </w:p>
    <w:p>
      <w:pPr>
        <w:ind w:left="440" w:right="120" w:hanging="433"/>
        <w:spacing w:after="0" w:line="26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the number of shares are 25,270 shares not subject to vesting conditions and 27,329 shares of restricted stock or restricted stock units subject to forfeiture under certain conditions.</w:t>
      </w:r>
    </w:p>
    <w:p>
      <w:pPr>
        <w:spacing w:after="0" w:line="85" w:lineRule="exact"/>
        <w:rPr>
          <w:rFonts w:ascii="Arial" w:cs="Arial" w:eastAsia="Arial" w:hAnsi="Arial"/>
          <w:sz w:val="18"/>
          <w:szCs w:val="18"/>
          <w:color w:val="auto"/>
        </w:rPr>
      </w:pPr>
    </w:p>
    <w:p>
      <w:pPr>
        <w:ind w:left="440" w:hanging="433"/>
        <w:spacing w:after="0" w:line="304"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Included in the number of shares are 7,447 shares not subject to vesting conditions, 23,996 shares of restricted stock or restricted stock units subject to forfeiture under certain conditions and 4,995 shares held in the 401(k) plan. Also included in the number of shares not subject to vesting conditions are 100 shares held in trust for the benefit of Mr. Carter’s spouse. Mr. Carter disclaims beneficial ownership of such shares held in trust.</w:t>
      </w:r>
    </w:p>
    <w:p>
      <w:pPr>
        <w:spacing w:after="0" w:line="60" w:lineRule="exact"/>
        <w:rPr>
          <w:rFonts w:ascii="Arial" w:cs="Arial" w:eastAsia="Arial" w:hAnsi="Arial"/>
          <w:sz w:val="16"/>
          <w:szCs w:val="16"/>
          <w:color w:val="auto"/>
        </w:rPr>
      </w:pPr>
    </w:p>
    <w:p>
      <w:pPr>
        <w:ind w:left="440" w:right="460" w:hanging="433"/>
        <w:spacing w:after="0" w:line="26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the number of shares are 2,421 shares not subject to vesting conditions, 15,734 shares of restricted stock or restricted stock units subject to forfeiture under certain conditions and 5,764 shares held in the 401k plan.</w:t>
      </w:r>
    </w:p>
    <w:p>
      <w:pPr>
        <w:spacing w:after="0" w:line="85" w:lineRule="exact"/>
        <w:rPr>
          <w:rFonts w:ascii="Arial" w:cs="Arial" w:eastAsia="Arial" w:hAnsi="Arial"/>
          <w:sz w:val="18"/>
          <w:szCs w:val="18"/>
          <w:color w:val="auto"/>
        </w:rPr>
      </w:pPr>
    </w:p>
    <w:p>
      <w:pPr>
        <w:ind w:left="440" w:right="140" w:hanging="433"/>
        <w:spacing w:after="0" w:line="25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the number of shares are 250,091 shares owned by Mr. Mencoff directly, and 69,954 shares held through Temple Hall Partners, LP, a family owned limited partnership. Mr. Mencoff disclaims beneficial ownership of the shares owned by Temple Hall Partners, LP except to the extent of his pecuniary interest therein.</w:t>
      </w:r>
    </w:p>
    <w:p>
      <w:pPr>
        <w:spacing w:after="0" w:line="94" w:lineRule="exact"/>
        <w:rPr>
          <w:rFonts w:ascii="Arial" w:cs="Arial" w:eastAsia="Arial" w:hAnsi="Arial"/>
          <w:sz w:val="18"/>
          <w:szCs w:val="18"/>
          <w:color w:val="auto"/>
        </w:rPr>
      </w:pPr>
    </w:p>
    <w:p>
      <w:pPr>
        <w:ind w:left="440" w:right="60" w:hanging="433"/>
        <w:spacing w:after="0" w:line="26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Included in the number of shares are 4,000 shares held by Mr. Woodrum’s spouse. Mr. Woodrum disclaims beneficial ownership of shares held by his spouse. Mr. Woodrum is not standing for reelection to the board at the 2022 annual meeting.</w:t>
      </w:r>
    </w:p>
    <w:p>
      <w:pPr>
        <w:spacing w:after="0" w:line="85" w:lineRule="exact"/>
        <w:rPr>
          <w:rFonts w:ascii="Arial" w:cs="Arial" w:eastAsia="Arial" w:hAnsi="Arial"/>
          <w:sz w:val="18"/>
          <w:szCs w:val="18"/>
          <w:color w:val="auto"/>
        </w:rPr>
      </w:pPr>
    </w:p>
    <w:p>
      <w:pPr>
        <w:ind w:left="440" w:hanging="433"/>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303,485 shares of restricted stock subject to forfeiture under certain conditions and 52,657 shares held in the 401(k) plan.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RELATED PERSONS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w:t>
      </w:r>
    </w:p>
    <w:p>
      <w:pPr>
        <w:spacing w:after="0" w:line="119" w:lineRule="exact"/>
        <w:rPr>
          <w:sz w:val="20"/>
          <w:szCs w:val="20"/>
          <w:color w:val="auto"/>
        </w:rPr>
      </w:pPr>
    </w:p>
    <w:p>
      <w:pPr>
        <w:ind w:right="60" w:firstLine="435"/>
        <w:spacing w:after="0" w:line="286" w:lineRule="auto"/>
        <w:rPr>
          <w:sz w:val="20"/>
          <w:szCs w:val="20"/>
          <w:color w:val="auto"/>
        </w:rPr>
      </w:pPr>
      <w:r>
        <w:rPr>
          <w:rFonts w:ascii="Arial" w:cs="Arial" w:eastAsia="Arial" w:hAnsi="Arial"/>
          <w:sz w:val="16"/>
          <w:szCs w:val="16"/>
          <w:color w:val="auto"/>
        </w:rPr>
        <w:t>The board has adopted a written policy relating to the nominating and governance committee’s review and approval of transactions with related persons that are required to be disclosed in proxy statements by SEC regulations (“related person transactions”). A “related person” is defined under the applicable SEC regulations and includes our directors, executive officers and 5% or more beneficial owners of our common stock. The Corporate Secretary administers procedures adopted by the board with respect to related person transactions and, unless approval of the transaction is delegated to another committee or required by the full board, the committee reviews and approves all such transactions. At times, it may be advisable to initiate a transaction before the committee has evaluated it, or a transaction may begin before discovery of a related person’s participation. In such instances, management consults with the chairman of the committee to determine the appropriate course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60"/>
          </w:cols>
          <w:pgMar w:left="500" w:top="274" w:right="539" w:bottom="1440" w:gutter="0" w:footer="0" w:header="0"/>
        </w:sectPr>
      </w:pPr>
    </w:p>
    <w:bookmarkStart w:id="44" w:name="page45"/>
    <w:bookmarkEnd w:id="44"/>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action. Approval of a related person transaction requires the affirmative vote of the majority of disinterested directors on the committee. In approving any related person transaction, the committee must determine that the transaction is fair and reasonable to PCA. The committee periodically reports on its activities to the board. The written policy relating to the committee’s review and approval of related person transactions is available on our website at </w:t>
      </w:r>
      <w:r>
        <w:rPr>
          <w:rFonts w:ascii="Arial" w:cs="Arial" w:eastAsia="Arial" w:hAnsi="Arial"/>
          <w:sz w:val="18"/>
          <w:szCs w:val="18"/>
          <w:i w:val="1"/>
          <w:iCs w:val="1"/>
          <w:color w:val="auto"/>
        </w:rPr>
        <w:t xml:space="preserve">www.packagingcorp.com </w:t>
      </w:r>
      <w:r>
        <w:rPr>
          <w:rFonts w:ascii="Arial" w:cs="Arial" w:eastAsia="Arial" w:hAnsi="Arial"/>
          <w:sz w:val="18"/>
          <w:szCs w:val="18"/>
          <w:color w:val="auto"/>
        </w:rPr>
        <w:t>under Investor Relations — Corporate Governance.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Transactions</w:t>
      </w:r>
    </w:p>
    <w:p>
      <w:pPr>
        <w:spacing w:after="0" w:line="119" w:lineRule="exact"/>
        <w:rPr>
          <w:sz w:val="20"/>
          <w:szCs w:val="20"/>
          <w:color w:val="auto"/>
        </w:rPr>
      </w:pPr>
    </w:p>
    <w:p>
      <w:pPr>
        <w:ind w:right="380" w:firstLine="435"/>
        <w:spacing w:after="0" w:line="267" w:lineRule="auto"/>
        <w:rPr>
          <w:sz w:val="20"/>
          <w:szCs w:val="20"/>
          <w:color w:val="auto"/>
        </w:rPr>
      </w:pPr>
      <w:r>
        <w:rPr>
          <w:rFonts w:ascii="Arial" w:cs="Arial" w:eastAsia="Arial" w:hAnsi="Arial"/>
          <w:sz w:val="18"/>
          <w:szCs w:val="18"/>
          <w:color w:val="auto"/>
        </w:rPr>
        <w:t>Todd Stecko, son of our director, Paul T. Stecko, is employed by PCA as a manager. His total compensation, including base salary, bonus and grant date value of equity awarded, during 2021 was $246,037.</w:t>
      </w:r>
    </w:p>
    <w:p>
      <w:pPr>
        <w:spacing w:after="0" w:line="73" w:lineRule="exact"/>
        <w:rPr>
          <w:sz w:val="20"/>
          <w:szCs w:val="20"/>
          <w:color w:val="auto"/>
        </w:rPr>
      </w:pPr>
    </w:p>
    <w:p>
      <w:pPr>
        <w:ind w:right="340" w:firstLine="435"/>
        <w:spacing w:after="0" w:line="267" w:lineRule="auto"/>
        <w:rPr>
          <w:sz w:val="20"/>
          <w:szCs w:val="20"/>
          <w:color w:val="auto"/>
        </w:rPr>
      </w:pPr>
      <w:r>
        <w:rPr>
          <w:rFonts w:ascii="Arial" w:cs="Arial" w:eastAsia="Arial" w:hAnsi="Arial"/>
          <w:sz w:val="18"/>
          <w:szCs w:val="18"/>
          <w:color w:val="auto"/>
        </w:rPr>
        <w:t>Nathaniel Carter, son of our Executive Vice President, Charles J. Carter, is employed by PCA as a manager. His total compensation, including salary, bonus, and grant date value of equity awarded, during 2021 was $321,793.</w:t>
      </w:r>
    </w:p>
    <w:p>
      <w:pPr>
        <w:spacing w:after="0" w:line="73" w:lineRule="exact"/>
        <w:rPr>
          <w:sz w:val="20"/>
          <w:szCs w:val="20"/>
          <w:color w:val="auto"/>
        </w:rPr>
      </w:pPr>
    </w:p>
    <w:p>
      <w:pPr>
        <w:ind w:right="540" w:firstLine="435"/>
        <w:spacing w:after="0" w:line="267" w:lineRule="auto"/>
        <w:rPr>
          <w:sz w:val="20"/>
          <w:szCs w:val="20"/>
          <w:color w:val="auto"/>
        </w:rPr>
      </w:pPr>
      <w:r>
        <w:rPr>
          <w:rFonts w:ascii="Arial" w:cs="Arial" w:eastAsia="Arial" w:hAnsi="Arial"/>
          <w:sz w:val="18"/>
          <w:szCs w:val="18"/>
          <w:color w:val="auto"/>
        </w:rPr>
        <w:t>Tyler Hassfurther, son of our Executive Vice President, Thomas A. Hassfurther, is employed by PCA as a manager. His total compensation, including salary, bonus, and grant date value of equity awarded, during 2021 was $174,697.</w:t>
      </w:r>
    </w:p>
    <w:p>
      <w:pPr>
        <w:spacing w:after="0" w:line="73" w:lineRule="exact"/>
        <w:rPr>
          <w:sz w:val="20"/>
          <w:szCs w:val="20"/>
          <w:color w:val="auto"/>
        </w:rPr>
      </w:pPr>
    </w:p>
    <w:p>
      <w:pPr>
        <w:ind w:right="640" w:firstLine="435"/>
        <w:spacing w:after="0" w:line="267" w:lineRule="auto"/>
        <w:rPr>
          <w:sz w:val="20"/>
          <w:szCs w:val="20"/>
          <w:color w:val="auto"/>
        </w:rPr>
      </w:pPr>
      <w:r>
        <w:rPr>
          <w:rFonts w:ascii="Arial" w:cs="Arial" w:eastAsia="Arial" w:hAnsi="Arial"/>
          <w:sz w:val="18"/>
          <w:szCs w:val="18"/>
          <w:color w:val="auto"/>
        </w:rPr>
        <w:t>Stephen Johnson, brother-in-law of our Senior Vice President, D. Ray Shirley, is employed by PCA as a manager. His total compensation, including salary and bonus during 2021 was $132,587.</w:t>
      </w:r>
    </w:p>
    <w:p>
      <w:pPr>
        <w:spacing w:after="0" w:line="179" w:lineRule="exact"/>
        <w:rPr>
          <w:sz w:val="20"/>
          <w:szCs w:val="20"/>
          <w:color w:val="auto"/>
        </w:rPr>
      </w:pPr>
    </w:p>
    <w:p>
      <w:pPr>
        <w:ind w:firstLine="435"/>
        <w:spacing w:after="0" w:line="267" w:lineRule="auto"/>
        <w:rPr>
          <w:sz w:val="20"/>
          <w:szCs w:val="20"/>
          <w:color w:val="auto"/>
        </w:rPr>
      </w:pPr>
      <w:r>
        <w:rPr>
          <w:rFonts w:ascii="Arial" w:cs="Arial" w:eastAsia="Arial" w:hAnsi="Arial"/>
          <w:sz w:val="17"/>
          <w:szCs w:val="17"/>
          <w:color w:val="auto"/>
        </w:rPr>
        <w:t>Madison Dearborn Partners, which employs Mr. Mencoff as co-Chief Executive Officer and Mr. Souleles as Managing Director, is a private equity firm that invests in companies that may purchase products or services from, or sell products and services to, us in the ordinary course of business in amounts that are not material in amount or significance. Mr. Mencoff and Mr. Souleles are not compensated directly or indirectly as a result of any such transactions, do not otherwise have an interest in such transactions and are not involved in any manner in such transactions. Mr. Mencoff may be deemed to beneficially own more than 10% of certain portfolio companies. The only transaction during 2021 involving Madison Dearborn portfolio companies to which we sold, or from which we purchased, more than $120,000 of products or services was the sale of approximately $850,000 of products and services to The Topps Company, Inc.</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225" w:lineRule="exact"/>
        <w:rPr>
          <w:sz w:val="20"/>
          <w:szCs w:val="20"/>
          <w:color w:val="auto"/>
        </w:rPr>
      </w:pPr>
    </w:p>
    <w:p>
      <w:pPr>
        <w:ind w:right="220" w:firstLine="435"/>
        <w:spacing w:after="0" w:line="270" w:lineRule="auto"/>
        <w:rPr>
          <w:sz w:val="20"/>
          <w:szCs w:val="20"/>
          <w:color w:val="auto"/>
        </w:rPr>
      </w:pPr>
      <w:r>
        <w:rPr>
          <w:rFonts w:ascii="Arial" w:cs="Arial" w:eastAsia="Arial" w:hAnsi="Arial"/>
          <w:sz w:val="17"/>
          <w:szCs w:val="17"/>
          <w:color w:val="auto"/>
        </w:rPr>
        <w:t>Section 16(a) of the Securities Exchange Act of 1934 requires our executive officers and directors, and persons who own more than 10% of our common stock, to file reports of ownership and changes in ownership with the Securities and Exchange Commission (“SEC”). Executive officers, directors and greater than 10% stockholders are required by SEC regulation to furnish us with copies of all Section 16(a) forms they file. Based solely upon a review of the copies of such forms furnished to us, we believe that all Section 16(a) filing requirements applicable to our executive officers, directors and greater than 10% beneficial owners were complied with during 2021.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119" w:lineRule="exact"/>
        <w:rPr>
          <w:sz w:val="20"/>
          <w:szCs w:val="20"/>
          <w:color w:val="auto"/>
        </w:rPr>
      </w:pPr>
    </w:p>
    <w:p>
      <w:pPr>
        <w:ind w:right="200" w:firstLine="435"/>
        <w:spacing w:after="0" w:line="297" w:lineRule="auto"/>
        <w:rPr>
          <w:sz w:val="20"/>
          <w:szCs w:val="20"/>
          <w:color w:val="auto"/>
        </w:rPr>
      </w:pPr>
      <w:r>
        <w:rPr>
          <w:rFonts w:ascii="Arial" w:cs="Arial" w:eastAsia="Arial" w:hAnsi="Arial"/>
          <w:sz w:val="17"/>
          <w:szCs w:val="17"/>
          <w:color w:val="auto"/>
        </w:rPr>
        <w:t>Stockholder proposals for our 2023 Annual Meeting of Stockholders must be received at our principal executive offices by November 25, 2022, and must otherwise comply with the SEC’s rules to be considered for inclusion in our proxy materials relating to the meeting.</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0"/>
          </w:cols>
          <w:pgMar w:left="500" w:top="274" w:right="5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Recommendations for Board-Nominated Director Nominees</w:t>
      </w:r>
    </w:p>
    <w:p>
      <w:pPr>
        <w:spacing w:after="0" w:line="119" w:lineRule="exact"/>
        <w:rPr>
          <w:sz w:val="20"/>
          <w:szCs w:val="20"/>
          <w:color w:val="auto"/>
        </w:rPr>
      </w:pPr>
    </w:p>
    <w:p>
      <w:pPr>
        <w:ind w:right="40" w:firstLine="435"/>
        <w:spacing w:after="0" w:line="251" w:lineRule="auto"/>
        <w:rPr>
          <w:sz w:val="20"/>
          <w:szCs w:val="20"/>
          <w:color w:val="auto"/>
        </w:rPr>
      </w:pPr>
      <w:r>
        <w:rPr>
          <w:rFonts w:ascii="Arial" w:cs="Arial" w:eastAsia="Arial" w:hAnsi="Arial"/>
          <w:sz w:val="18"/>
          <w:szCs w:val="18"/>
          <w:color w:val="auto"/>
        </w:rPr>
        <w:t>A stockholder may recommend persons as potential nominees to be elected to the board by submitting the names of such persons in writing to our corporate secretary. Recommendations should be accompanied by a statement of qualifications and confirmation of the person’s willingness to serve, and the information that would</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be required to be furnished if the stockholder was directly nominating such person for election to the board (described below under “Director Nominations or Other Business to be Brought Before the 2023 Annual Meeting”). To be nominated by the board for election, the nominee must meet the qualifications and selection criteria set forth in the corporate governance guidelines and the selection criteria as determined by the nominating and governance committee. The committee evaluates nominees recommended by stockholders in the same manner in which it evaluates other nominees. The selection criteria identifies desirable skills and experience for prospective board members, including those properly nominated by stockholders, and addresses the issues of diversity and background. The board selects potential new members using the criteria and priorities established from time to time. The composition, skills and needs of the board change over time and will be considered in establishing the desirable profile of candidates for any specific opening on the board.</w:t>
      </w:r>
    </w:p>
    <w:p>
      <w:pPr>
        <w:spacing w:after="0" w:line="197" w:lineRule="exact"/>
        <w:rPr>
          <w:sz w:val="20"/>
          <w:szCs w:val="20"/>
          <w:color w:val="auto"/>
        </w:rPr>
      </w:pPr>
    </w:p>
    <w:p>
      <w:pPr>
        <w:ind w:firstLine="435"/>
        <w:spacing w:after="0" w:line="251" w:lineRule="auto"/>
        <w:rPr>
          <w:sz w:val="20"/>
          <w:szCs w:val="20"/>
          <w:color w:val="auto"/>
        </w:rPr>
      </w:pPr>
      <w:r>
        <w:rPr>
          <w:rFonts w:ascii="Arial" w:cs="Arial" w:eastAsia="Arial" w:hAnsi="Arial"/>
          <w:sz w:val="18"/>
          <w:szCs w:val="18"/>
          <w:color w:val="auto"/>
        </w:rPr>
        <w:t>Our bylaws include customary “proxy access” provisions. Pursuant to these provisions, in general, a person or group of up to 20 persons that has continually held 3% or more of our common stock for three or more years may nominate up to the greater of 20% of the total number of directors or two directors and include such nomination in our proxy statement. The notice and other procedures set forth in our amended and restated by-laws in order to nominate a director candidate must be strictly complied with, and stockholders are encouraged to review those procedures carefully if they are interested in utilizing that process. If a candidate has been properly nominated, we will include his or her name and biography in the proxy statement and on the proxy card for the annual meeting.</w:t>
      </w:r>
    </w:p>
    <w:p>
      <w:pPr>
        <w:spacing w:after="0" w:line="194" w:lineRule="exact"/>
        <w:rPr>
          <w:sz w:val="20"/>
          <w:szCs w:val="20"/>
          <w:color w:val="auto"/>
        </w:rPr>
      </w:pPr>
    </w:p>
    <w:p>
      <w:pPr>
        <w:ind w:right="300" w:firstLine="435"/>
        <w:spacing w:after="0" w:line="273" w:lineRule="auto"/>
        <w:rPr>
          <w:sz w:val="20"/>
          <w:szCs w:val="20"/>
          <w:color w:val="auto"/>
        </w:rPr>
      </w:pPr>
      <w:r>
        <w:rPr>
          <w:rFonts w:ascii="Arial" w:cs="Arial" w:eastAsia="Arial" w:hAnsi="Arial"/>
          <w:sz w:val="17"/>
          <w:szCs w:val="17"/>
          <w:color w:val="auto"/>
        </w:rPr>
        <w:t>If an eligible shareholder determines to nominate a person for director pursuant to the “proxy access” provisions described above, then written notice of such nomination must be received no earlier than the close of business on December 18, 2022 and no later than the close of business on January 17, 2023. If the 2023 annual meeting is called for a date that is not within 30 days before or 60 days after May 17, 2023 then notice must be received not later than the close of business on the 10</w:t>
      </w:r>
      <w:r>
        <w:rPr>
          <w:rFonts w:ascii="Arial" w:cs="Arial" w:eastAsia="Arial" w:hAnsi="Arial"/>
          <w:sz w:val="14"/>
          <w:szCs w:val="14"/>
          <w:color w:val="auto"/>
        </w:rPr>
        <w:t>th</w:t>
      </w:r>
      <w:r>
        <w:rPr>
          <w:rFonts w:ascii="Arial" w:cs="Arial" w:eastAsia="Arial" w:hAnsi="Arial"/>
          <w:sz w:val="17"/>
          <w:szCs w:val="17"/>
          <w:color w:val="auto"/>
        </w:rPr>
        <w:t xml:space="preserve"> day after public announcement of the meeting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or Other Business to be Brought Before the 2023 Annual Meeting</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by-laws provide that a stockholder entitled to vote for the election of directors at an annual meeting and who is a stockholder of record on:</w:t>
      </w:r>
    </w:p>
    <w:p>
      <w:pPr>
        <w:spacing w:after="0" w:line="149" w:lineRule="exact"/>
        <w:rPr>
          <w:sz w:val="20"/>
          <w:szCs w:val="20"/>
          <w:color w:val="auto"/>
        </w:rPr>
      </w:pPr>
    </w:p>
    <w:p>
      <w:pPr>
        <w:ind w:left="960" w:hanging="42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record date for that annual meeting,</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the date the shareholder provides timely notice to us, and</w:t>
      </w:r>
    </w:p>
    <w:p>
      <w:pPr>
        <w:spacing w:after="0" w:line="126" w:lineRule="exact"/>
        <w:rPr>
          <w:rFonts w:ascii="Arial" w:cs="Arial" w:eastAsia="Arial" w:hAnsi="Arial"/>
          <w:sz w:val="18"/>
          <w:szCs w:val="18"/>
          <w:color w:val="auto"/>
        </w:rPr>
      </w:pPr>
    </w:p>
    <w:p>
      <w:pPr>
        <w:ind w:left="960" w:hanging="42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the date of the annual meeting</w:t>
      </w:r>
    </w:p>
    <w:p>
      <w:pPr>
        <w:spacing w:after="0" w:line="219"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color w:val="auto"/>
        </w:rPr>
        <w:t>may directly nominate persons for director or bring business before the annual meeting by providing proper timely written notice to our corporate secretary.</w:t>
      </w:r>
    </w:p>
    <w:p>
      <w:pPr>
        <w:spacing w:after="0" w:line="179" w:lineRule="exact"/>
        <w:rPr>
          <w:sz w:val="20"/>
          <w:szCs w:val="20"/>
          <w:color w:val="auto"/>
        </w:rPr>
      </w:pPr>
    </w:p>
    <w:p>
      <w:pPr>
        <w:ind w:right="40" w:firstLine="435"/>
        <w:spacing w:after="0" w:line="270" w:lineRule="auto"/>
        <w:rPr>
          <w:sz w:val="20"/>
          <w:szCs w:val="20"/>
          <w:color w:val="auto"/>
        </w:rPr>
      </w:pPr>
      <w:r>
        <w:rPr>
          <w:rFonts w:ascii="Arial" w:cs="Arial" w:eastAsia="Arial" w:hAnsi="Arial"/>
          <w:sz w:val="17"/>
          <w:szCs w:val="17"/>
          <w:color w:val="auto"/>
        </w:rPr>
        <w:t>To be timely, written notice either to directly nominate persons for director (other than pursuant to the “proxy access” provisions described above) or to bring business properly before the annual meeting must be received at our principal executive offices no earlier than the close of business on February 16, 2023 and no later than the close of business on March 18, 2023. If the 2023 annual meeting is called for a date that is not within 30 days before or after May 17, 2023, notice by the stockholder must be received not later than the close of business on the 10th day after public announcement of the meeting date. Written notice must contain the information required by our by-laws.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description does not purport to be complete and is qualified in its entirety by reference to our by-laws.</w:t>
      </w:r>
    </w:p>
    <w:p>
      <w:pPr>
        <w:spacing w:after="0" w:line="15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60"/>
          </w:cols>
          <w:pgMar w:left="500" w:top="268" w:right="539" w:bottom="1440" w:gutter="0" w:footer="0" w:header="0"/>
        </w:sectPr>
      </w:pPr>
    </w:p>
    <w:bookmarkStart w:id="46" w:name="page47"/>
    <w:bookmarkEnd w:id="46"/>
    <w:p>
      <w:pPr>
        <w:ind w:right="180" w:firstLine="435"/>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We reserve the right to reject, rule out of order, or take other appropriate action with respect to any proposal or nomination that does not comply with the advance notice requirements in our by-laws.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ind w:right="200" w:firstLine="435"/>
        <w:spacing w:after="0" w:line="253" w:lineRule="auto"/>
        <w:rPr>
          <w:sz w:val="20"/>
          <w:szCs w:val="20"/>
          <w:color w:val="auto"/>
        </w:rPr>
      </w:pPr>
      <w:r>
        <w:rPr>
          <w:rFonts w:ascii="Arial" w:cs="Arial" w:eastAsia="Arial" w:hAnsi="Arial"/>
          <w:sz w:val="18"/>
          <w:szCs w:val="18"/>
          <w:color w:val="auto"/>
        </w:rPr>
        <w:t>As of the date of this proxy statement, the board of directors does not intend to present at the 2022 Annual Meeting of Stockholders any matters other than those described herein and does not presently know of any</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matters that will be presented by other parties. If any other matter requiring a vote of the stockholders should come before the meeting, it is the intention of the persons named in the proxy to vote with respect to any such matter in accordance with the recommendation of our board or, in the absence of such a recommendation, in accordance with the best judgment of the proxy holder.</w:t>
      </w:r>
    </w:p>
    <w:p>
      <w:pPr>
        <w:spacing w:after="0" w:line="2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PACKAGING CORPORATION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79375</wp:posOffset>
            </wp:positionV>
            <wp:extent cx="1624965" cy="3638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24965" cy="363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Kent A. Pflederer</w:t>
      </w:r>
    </w:p>
    <w:p>
      <w:pPr>
        <w:spacing w:after="0" w:line="17" w:lineRule="exact"/>
        <w:rPr>
          <w:sz w:val="20"/>
          <w:szCs w:val="20"/>
          <w:color w:val="auto"/>
        </w:rPr>
      </w:pPr>
    </w:p>
    <w:p>
      <w:pPr>
        <w:ind w:left="6600"/>
        <w:spacing w:after="0"/>
        <w:rPr>
          <w:sz w:val="20"/>
          <w:szCs w:val="20"/>
          <w:color w:val="auto"/>
        </w:rPr>
      </w:pPr>
      <w:r>
        <w:rPr>
          <w:rFonts w:ascii="Arial" w:cs="Arial" w:eastAsia="Arial" w:hAnsi="Arial"/>
          <w:sz w:val="18"/>
          <w:szCs w:val="18"/>
          <w:i w:val="1"/>
          <w:iCs w:val="1"/>
          <w:color w:val="auto"/>
        </w:rPr>
        <w:t>Corporate Secretary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60"/>
          </w:cols>
          <w:pgMar w:left="500" w:top="274" w:right="5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ANNEX A</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25" w:lineRule="exact"/>
        <w:rPr>
          <w:sz w:val="20"/>
          <w:szCs w:val="20"/>
          <w:color w:val="auto"/>
        </w:rPr>
      </w:pPr>
    </w:p>
    <w:p>
      <w:pPr>
        <w:ind w:firstLine="435"/>
        <w:spacing w:after="0" w:line="266" w:lineRule="auto"/>
        <w:rPr>
          <w:sz w:val="20"/>
          <w:szCs w:val="20"/>
          <w:color w:val="auto"/>
        </w:rPr>
      </w:pPr>
      <w:r>
        <w:rPr>
          <w:rFonts w:ascii="Arial" w:cs="Arial" w:eastAsia="Arial" w:hAnsi="Arial"/>
          <w:sz w:val="17"/>
          <w:szCs w:val="17"/>
          <w:color w:val="auto"/>
        </w:rPr>
        <w:t>Earnings per share, excluding special items, is a non-GAAP financial measure. Management excludes special items, as it believes that these items are not necessarily reflective of the ongoing operations of our business. Non-GAAP financial measures are presented because they provide a means to evaluate the performance of our segments and our company on an ongoing basis using the same measures that are used by our management, because these measures assist in providing a meaningful comparison between periods and because these measures are frequently used by investors and other interested parties in the evaluation of companies and the performance of their segments. Any analysis of non-GAAP financial measures should be done in conjunction with results presented in accordance with GAAP. Non-GAAP measures are not intended to be substitutes for financial measures reported in accordance with GAAP and should not be used as such. A reconciliation of the non-GAAP measure to the most comparable measure reported in accordance with GAAP for the year ended December 31, 2021 is as follows:</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7"/>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Earnings per diluted share reported in accordance with GAAP</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$ 8.83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Special items: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Facilities closure and other costs (income) (a)</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r>
      <w:tr>
        <w:trPr>
          <w:trHeight w:val="213"/>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Debt refinancing (b)</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Jackson mill conversion-related activities (c)</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Acquisition and integration related costs (d)</w:t>
            </w: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 expense</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r>
      <w:tr>
        <w:trPr>
          <w:trHeight w:val="219"/>
        </w:trPr>
        <w:tc>
          <w:tcPr>
            <w:tcW w:w="6800" w:type="dxa"/>
            <w:vAlign w:val="bottom"/>
            <w:gridSpan w:val="2"/>
          </w:tcPr>
          <w:p>
            <w:pPr>
              <w:spacing w:after="0"/>
              <w:rPr>
                <w:sz w:val="20"/>
                <w:szCs w:val="20"/>
                <w:color w:val="auto"/>
              </w:rPr>
            </w:pPr>
            <w:r>
              <w:rPr>
                <w:rFonts w:ascii="Arial" w:cs="Arial" w:eastAsia="Arial" w:hAnsi="Arial"/>
                <w:sz w:val="18"/>
                <w:szCs w:val="18"/>
                <w:color w:val="auto"/>
              </w:rPr>
              <w:t>Earnings per diluted share, excluding special items</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$ 9.39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40" w:right="60" w:hanging="433"/>
        <w:spacing w:after="0" w:line="266"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Includes income primarily consisting of an adjustment of the required asset retirement obligation related to the 2020 closure of the San Lorenzo, California facility, a gain on sale of transportation assets and corrugated products facilities, and insurance proceeds received for a natural disaster at one of the corrugated products facilities, partially offset by closure costs related to corrugated products facilities.</w:t>
      </w:r>
    </w:p>
    <w:p>
      <w:pPr>
        <w:ind w:left="440" w:right="120" w:hanging="433"/>
        <w:spacing w:after="0" w:line="24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costs related to the company’s debt refinancing completed in October 2021, which included a redemption premium and the write-off of the remaining balance of unamortized debt issuance costs.</w:t>
      </w:r>
    </w:p>
    <w:p>
      <w:pPr>
        <w:ind w:left="440" w:right="80" w:hanging="433"/>
        <w:spacing w:after="0" w:line="24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charges related to the announced discontinuation of production of uncoated freesheet paper grades on the No. 3 machine at the Jackson, Alabama mill in the first quarter of 2021 associated with the permanent conversion of the machine to produce linerboard and other paper-to-containerboard conversion related activities.</w:t>
      </w:r>
    </w:p>
    <w:p>
      <w:pPr>
        <w:ind w:left="440" w:hanging="433"/>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charges for acquisition and integration costs related to the December 2021 Advance Packaging Corporation acquisition.</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00"/>
          </w:cols>
          <w:pgMar w:left="500" w:top="268" w:right="599" w:bottom="1440" w:gutter="0" w:footer="0" w:header="0"/>
        </w:sectPr>
      </w:pPr>
    </w:p>
    <w:bookmarkStart w:id="48" w:name="page49"/>
    <w:bookmarkEnd w:id="48"/>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8210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821055"/>
                    </a:xfrm>
                    <a:prstGeom prst="rect">
                      <a:avLst/>
                    </a:prstGeom>
                    <a:noFill/>
                  </pic:spPr>
                </pic:pic>
              </a:graphicData>
            </a:graphic>
          </wp:anchor>
        </w:drawing>
      </w:r>
    </w:p>
    <w:p>
      <w:pPr>
        <w:ind w:left="6500"/>
        <w:spacing w:after="0"/>
        <w:rPr>
          <w:sz w:val="20"/>
          <w:szCs w:val="20"/>
          <w:color w:val="auto"/>
        </w:rPr>
      </w:pPr>
      <w:r>
        <w:rPr>
          <w:rFonts w:ascii="Arial" w:cs="Arial" w:eastAsia="Arial" w:hAnsi="Arial"/>
          <w:sz w:val="21"/>
          <w:szCs w:val="21"/>
          <w:b w:val="1"/>
          <w:bCs w:val="1"/>
          <w:color w:val="auto"/>
        </w:rPr>
        <w:t>Your vote matters – here’s how to vote!</w:t>
      </w:r>
    </w:p>
    <w:p>
      <w:pPr>
        <w:spacing w:after="0" w:line="27"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You may vote online or by phone instead of mailing this card.</w:t>
      </w:r>
    </w:p>
    <w:p>
      <w:pPr>
        <w:spacing w:after="0" w:line="169" w:lineRule="exact"/>
        <w:rPr>
          <w:sz w:val="20"/>
          <w:szCs w:val="20"/>
          <w:color w:val="auto"/>
        </w:rPr>
      </w:pPr>
    </w:p>
    <w:p>
      <w:pPr>
        <w:ind w:left="7260" w:right="60"/>
        <w:spacing w:after="0" w:line="421" w:lineRule="auto"/>
        <w:rPr>
          <w:sz w:val="20"/>
          <w:szCs w:val="20"/>
          <w:color w:val="auto"/>
        </w:rPr>
      </w:pPr>
      <w:r>
        <w:rPr>
          <w:rFonts w:ascii="Arial" w:cs="Arial" w:eastAsia="Arial" w:hAnsi="Arial"/>
          <w:sz w:val="14"/>
          <w:szCs w:val="14"/>
          <w:b w:val="1"/>
          <w:bCs w:val="1"/>
          <w:color w:val="auto"/>
        </w:rPr>
        <w:t>Votes submitted electronically must be received by 8:30am, Central Time, on May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-346075</wp:posOffset>
            </wp:positionV>
            <wp:extent cx="363855" cy="304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3855" cy="304800"/>
                    </a:xfrm>
                    <a:prstGeom prst="rect">
                      <a:avLst/>
                    </a:prstGeom>
                    <a:noFill/>
                  </pic:spPr>
                </pic:pic>
              </a:graphicData>
            </a:graphic>
          </wp:anchor>
        </w:drawing>
      </w:r>
    </w:p>
    <w:p>
      <w:pPr>
        <w:spacing w:after="0" w:line="28"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Online</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b w:val="1"/>
          <w:bCs w:val="1"/>
          <w:color w:val="auto"/>
        </w:rPr>
        <w:t>www.envisionreports.com/PKG</w:t>
      </w:r>
      <w:r>
        <w:rPr>
          <w:rFonts w:ascii="Arial" w:cs="Arial" w:eastAsia="Arial" w:hAnsi="Arial"/>
          <w:sz w:val="17"/>
          <w:szCs w:val="17"/>
          <w:color w:val="auto"/>
        </w:rPr>
        <w:t xml:space="preserve"> or scan</w:t>
      </w:r>
    </w:p>
    <w:p>
      <w:pPr>
        <w:spacing w:after="0" w:line="18"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the QR code – login details are located in the</w:t>
      </w:r>
    </w:p>
    <w:p>
      <w:pPr>
        <w:spacing w:after="0" w:line="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shaded bar below.</w:t>
      </w:r>
    </w:p>
    <w:p>
      <w:pPr>
        <w:spacing w:after="0" w:line="122"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4214495</wp:posOffset>
            </wp:positionH>
            <wp:positionV relativeFrom="paragraph">
              <wp:posOffset>-102235</wp:posOffset>
            </wp:positionV>
            <wp:extent cx="236855" cy="389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6855" cy="389255"/>
                    </a:xfrm>
                    <a:prstGeom prst="rect">
                      <a:avLst/>
                    </a:prstGeom>
                    <a:noFill/>
                  </pic:spPr>
                </pic:pic>
              </a:graphicData>
            </a:graphic>
          </wp:anchor>
        </w:drawing>
      </w:r>
    </w:p>
    <w:p>
      <w:pPr>
        <w:spacing w:after="0" w:line="3"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Call toll free 1-800-652-VOTE (8683) within the</w:t>
      </w:r>
    </w:p>
    <w:p>
      <w:pPr>
        <w:spacing w:after="0" w:line="18"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USA, US territories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326390</wp:posOffset>
            </wp:positionV>
            <wp:extent cx="304800" cy="2876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4800" cy="2876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078345" cy="3721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78345" cy="37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165735</wp:posOffset>
            </wp:positionV>
            <wp:extent cx="6702425" cy="389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2425" cy="389255"/>
                    </a:xfrm>
                    <a:prstGeom prst="rect">
                      <a:avLst/>
                    </a:prstGeom>
                    <a:noFill/>
                  </pic:spPr>
                </pic:pic>
              </a:graphicData>
            </a:graphic>
          </wp:anchor>
        </w:drawing>
      </w:r>
    </w:p>
    <w:p>
      <w:pPr>
        <w:spacing w:after="0" w:line="263" w:lineRule="exact"/>
        <w:rPr>
          <w:sz w:val="20"/>
          <w:szCs w:val="20"/>
          <w:color w:val="auto"/>
        </w:rPr>
      </w:pPr>
    </w:p>
    <w:p>
      <w:pPr>
        <w:ind w:left="460" w:hanging="374"/>
        <w:spacing w:after="0"/>
        <w:tabs>
          <w:tab w:leader="none" w:pos="460" w:val="left"/>
        </w:tabs>
        <w:numPr>
          <w:ilvl w:val="0"/>
          <w:numId w:val="43"/>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of Directors recommend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and 3.</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 Election of Directors:</w:t>
      </w:r>
    </w:p>
    <w:p>
      <w:pPr>
        <w:spacing w:after="0" w:line="208" w:lineRule="exact"/>
        <w:rPr>
          <w:sz w:val="20"/>
          <w:szCs w:val="20"/>
          <w:color w:val="auto"/>
        </w:rPr>
      </w:pPr>
    </w:p>
    <w:p>
      <w:pPr>
        <w:ind w:left="1780"/>
        <w:spacing w:after="0"/>
        <w:tabs>
          <w:tab w:leader="none" w:pos="2220" w:val="left"/>
          <w:tab w:leader="none" w:pos="2800" w:val="left"/>
          <w:tab w:leader="none" w:pos="5080" w:val="left"/>
          <w:tab w:leader="none" w:pos="5540" w:val="left"/>
          <w:tab w:leader="none" w:pos="6120" w:val="left"/>
          <w:tab w:leader="none" w:pos="8360" w:val="left"/>
          <w:tab w:leader="none" w:pos="8820" w:val="left"/>
          <w:tab w:leader="none" w:pos="95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tab/>
        <w:t>Abstain</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tab/>
        <w:t>Abstain</w:t>
      </w:r>
      <w:r>
        <w:rPr>
          <w:sz w:val="20"/>
          <w:szCs w:val="20"/>
          <w:color w:val="auto"/>
        </w:rPr>
        <w:tab/>
      </w: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2"/>
          <w:szCs w:val="12"/>
          <w:b w:val="1"/>
          <w:bCs w:val="1"/>
          <w:color w:val="auto"/>
        </w:rPr>
        <w:t>Abstain</w:t>
      </w:r>
    </w:p>
    <w:p>
      <w:pPr>
        <w:sectPr>
          <w:pgSz w:w="11900" w:h="16838" w:orient="portrait"/>
          <w:cols w:equalWidth="0" w:num="1">
            <w:col w:w="10900"/>
          </w:cols>
          <w:pgMar w:left="500" w:top="1440" w:right="499" w:bottom="1440" w:gutter="0" w:footer="0" w:header="0"/>
        </w:sectPr>
      </w:pPr>
    </w:p>
    <w:p>
      <w:pPr>
        <w:spacing w:after="0" w:line="4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01 - Cheryl K. Beebe</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04 - Mark W. Kowlzan</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07 - Samuel M. Mencoff</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10 - Paul T. Stecko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51" w:lineRule="exact"/>
        <w:tabs>
          <w:tab w:leader="none" w:pos="560" w:val="left"/>
          <w:tab w:leader="none" w:pos="11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117" w:lineRule="exact"/>
        <w:rPr>
          <w:sz w:val="20"/>
          <w:szCs w:val="20"/>
          <w:color w:val="auto"/>
        </w:rPr>
      </w:pPr>
    </w:p>
    <w:p>
      <w:pPr>
        <w:spacing w:after="0" w:line="251" w:lineRule="exact"/>
        <w:tabs>
          <w:tab w:leader="none" w:pos="560" w:val="left"/>
          <w:tab w:leader="none" w:pos="11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110" w:lineRule="exact"/>
        <w:rPr>
          <w:sz w:val="20"/>
          <w:szCs w:val="20"/>
          <w:color w:val="auto"/>
        </w:rPr>
      </w:pPr>
    </w:p>
    <w:p>
      <w:pPr>
        <w:spacing w:after="0" w:line="251" w:lineRule="exact"/>
        <w:tabs>
          <w:tab w:leader="none" w:pos="560" w:val="left"/>
          <w:tab w:leader="none" w:pos="11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110" w:lineRule="exact"/>
        <w:rPr>
          <w:sz w:val="20"/>
          <w:szCs w:val="20"/>
          <w:color w:val="auto"/>
        </w:rPr>
      </w:pPr>
    </w:p>
    <w:p>
      <w:pPr>
        <w:spacing w:after="0" w:line="251" w:lineRule="exact"/>
        <w:tabs>
          <w:tab w:leader="none" w:pos="560" w:val="left"/>
          <w:tab w:leader="none" w:pos="11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02 - Duane C. Farrington</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05 - Robert C. Lyons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08 - Roger B. Porter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51" w:lineRule="exact"/>
        <w:tabs>
          <w:tab w:leader="none" w:pos="560" w:val="left"/>
          <w:tab w:leader="none" w:pos="11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117" w:lineRule="exact"/>
        <w:rPr>
          <w:sz w:val="20"/>
          <w:szCs w:val="20"/>
          <w:color w:val="auto"/>
        </w:rPr>
      </w:pPr>
    </w:p>
    <w:p>
      <w:pPr>
        <w:spacing w:after="0" w:line="251" w:lineRule="exact"/>
        <w:tabs>
          <w:tab w:leader="none" w:pos="560" w:val="left"/>
          <w:tab w:leader="none" w:pos="11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110" w:lineRule="exact"/>
        <w:rPr>
          <w:sz w:val="20"/>
          <w:szCs w:val="20"/>
          <w:color w:val="auto"/>
        </w:rPr>
      </w:pPr>
    </w:p>
    <w:p>
      <w:pPr>
        <w:spacing w:after="0" w:line="251" w:lineRule="exact"/>
        <w:tabs>
          <w:tab w:leader="none" w:pos="560" w:val="left"/>
          <w:tab w:leader="none" w:pos="11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03 -Donna A. Harman</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06 - Thomas P. Maurer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09 - Thomas S. Souleles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51" w:lineRule="exact"/>
        <w:tabs>
          <w:tab w:leader="none" w:pos="560" w:val="left"/>
          <w:tab w:leader="none" w:pos="12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117" w:lineRule="exact"/>
        <w:rPr>
          <w:sz w:val="20"/>
          <w:szCs w:val="20"/>
          <w:color w:val="auto"/>
        </w:rPr>
      </w:pPr>
    </w:p>
    <w:p>
      <w:pPr>
        <w:spacing w:after="0" w:line="251" w:lineRule="exact"/>
        <w:tabs>
          <w:tab w:leader="none" w:pos="560" w:val="left"/>
          <w:tab w:leader="none" w:pos="12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110" w:lineRule="exact"/>
        <w:rPr>
          <w:sz w:val="20"/>
          <w:szCs w:val="20"/>
          <w:color w:val="auto"/>
        </w:rPr>
      </w:pPr>
    </w:p>
    <w:p>
      <w:pPr>
        <w:spacing w:after="0" w:line="251" w:lineRule="exact"/>
        <w:tabs>
          <w:tab w:leader="none" w:pos="560" w:val="left"/>
          <w:tab w:leader="none" w:pos="1260" w:val="left"/>
        </w:tabs>
        <w:rPr>
          <w:sz w:val="20"/>
          <w:szCs w:val="20"/>
          <w:color w:val="auto"/>
        </w:rPr>
      </w:pPr>
      <w:r>
        <w:rPr>
          <w:rFonts w:ascii="MS PGothic" w:cs="MS PGothic" w:eastAsia="MS PGothic" w:hAnsi="MS PGothic"/>
          <w:sz w:val="25"/>
          <w:szCs w:val="25"/>
          <w:color w:val="auto"/>
        </w:rPr>
        <w:t>☐</w:t>
        <w:tab/>
        <w:t>☐</w:t>
      </w:r>
      <w:r>
        <w:rPr>
          <w:sz w:val="20"/>
          <w:szCs w:val="20"/>
          <w:color w:val="auto"/>
        </w:rPr>
        <w:tab/>
      </w:r>
      <w:r>
        <w:rPr>
          <w:rFonts w:ascii="MS PGothic" w:cs="MS PGothic" w:eastAsia="MS PGothic" w:hAnsi="MS PGothic"/>
          <w:sz w:val="22"/>
          <w:szCs w:val="22"/>
          <w:color w:val="auto"/>
        </w:rPr>
        <w:t>☐</w:t>
      </w:r>
    </w:p>
    <w:p>
      <w:pPr>
        <w:spacing w:after="0" w:line="559" w:lineRule="exact"/>
        <w:rPr>
          <w:sz w:val="20"/>
          <w:szCs w:val="20"/>
          <w:color w:val="auto"/>
        </w:rPr>
      </w:pPr>
    </w:p>
    <w:p>
      <w:pPr>
        <w:sectPr>
          <w:pgSz w:w="11900" w:h="16838" w:orient="portrait"/>
          <w:cols w:equalWidth="0" w:num="6">
            <w:col w:w="1560" w:space="220"/>
            <w:col w:w="1400" w:space="240"/>
            <w:col w:w="1440" w:space="240"/>
            <w:col w:w="1400" w:space="240"/>
            <w:col w:w="1380" w:space="260"/>
            <w:col w:w="2520"/>
          </w:cols>
          <w:pgMar w:left="500" w:top="1440" w:right="49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Arial" w:cs="Arial" w:eastAsia="Arial" w:hAnsi="Arial"/>
                <w:sz w:val="14"/>
                <w:szCs w:val="14"/>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3300" w:type="dxa"/>
            <w:vAlign w:val="bottom"/>
          </w:tcPr>
          <w:p>
            <w:pPr>
              <w:spacing w:after="0"/>
              <w:rPr>
                <w:sz w:val="14"/>
                <w:szCs w:val="14"/>
                <w:color w:val="auto"/>
              </w:rPr>
            </w:pPr>
          </w:p>
        </w:tc>
        <w:tc>
          <w:tcPr>
            <w:tcW w:w="480" w:type="dxa"/>
            <w:vAlign w:val="bottom"/>
          </w:tcPr>
          <w:p>
            <w:pPr>
              <w:ind w:left="160"/>
              <w:spacing w:after="0"/>
              <w:rPr>
                <w:sz w:val="20"/>
                <w:szCs w:val="20"/>
                <w:color w:val="auto"/>
              </w:rPr>
            </w:pPr>
            <w:r>
              <w:rPr>
                <w:rFonts w:ascii="Arial" w:cs="Arial" w:eastAsia="Arial" w:hAnsi="Arial"/>
                <w:sz w:val="14"/>
                <w:szCs w:val="14"/>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80" w:type="dxa"/>
            <w:vAlign w:val="bottom"/>
          </w:tcPr>
          <w:p>
            <w:pPr>
              <w:jc w:val="center"/>
              <w:ind w:left="2"/>
              <w:spacing w:after="0"/>
              <w:rPr>
                <w:sz w:val="20"/>
                <w:szCs w:val="20"/>
                <w:color w:val="auto"/>
              </w:rPr>
            </w:pPr>
            <w:r>
              <w:rPr>
                <w:rFonts w:ascii="Arial" w:cs="Arial" w:eastAsia="Arial" w:hAnsi="Arial"/>
                <w:sz w:val="14"/>
                <w:szCs w:val="14"/>
                <w:b w:val="1"/>
                <w:bCs w:val="1"/>
                <w:color w:val="auto"/>
                <w:w w:val="93"/>
              </w:rPr>
              <w:t>Abstain</w:t>
            </w:r>
          </w:p>
        </w:tc>
      </w:tr>
      <w:tr>
        <w:trPr>
          <w:trHeight w:val="391"/>
        </w:trPr>
        <w:tc>
          <w:tcPr>
            <w:tcW w:w="3860" w:type="dxa"/>
            <w:vAlign w:val="bottom"/>
          </w:tcPr>
          <w:p>
            <w:pPr>
              <w:spacing w:after="0"/>
              <w:rPr>
                <w:sz w:val="20"/>
                <w:szCs w:val="20"/>
                <w:color w:val="auto"/>
              </w:rPr>
            </w:pPr>
            <w:r>
              <w:rPr>
                <w:rFonts w:ascii="Arial" w:cs="Arial" w:eastAsia="Arial" w:hAnsi="Arial"/>
                <w:sz w:val="14"/>
                <w:szCs w:val="14"/>
                <w:color w:val="auto"/>
                <w:w w:val="97"/>
              </w:rPr>
              <w:t>2.  Proposal to ratify appointment of KPMG LLP as our auditors.</w:t>
            </w:r>
          </w:p>
        </w:tc>
        <w:tc>
          <w:tcPr>
            <w:tcW w:w="480" w:type="dxa"/>
            <w:vAlign w:val="bottom"/>
          </w:tcPr>
          <w:p>
            <w:pPr>
              <w:ind w:left="140"/>
              <w:spacing w:after="0" w:line="251" w:lineRule="exact"/>
              <w:rPr>
                <w:sz w:val="20"/>
                <w:szCs w:val="20"/>
                <w:color w:val="auto"/>
              </w:rPr>
            </w:pPr>
            <w:r>
              <w:rPr>
                <w:rFonts w:ascii="MS PGothic" w:cs="MS PGothic" w:eastAsia="MS PGothic" w:hAnsi="MS PGothic"/>
                <w:sz w:val="25"/>
                <w:szCs w:val="25"/>
                <w:color w:val="auto"/>
              </w:rPr>
              <w:t>☐</w:t>
            </w:r>
          </w:p>
        </w:tc>
        <w:tc>
          <w:tcPr>
            <w:tcW w:w="72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74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3300" w:type="dxa"/>
            <w:vAlign w:val="bottom"/>
          </w:tcPr>
          <w:p>
            <w:pPr>
              <w:ind w:left="160"/>
              <w:spacing w:after="0"/>
              <w:rPr>
                <w:sz w:val="20"/>
                <w:szCs w:val="20"/>
                <w:color w:val="auto"/>
              </w:rPr>
            </w:pPr>
            <w:r>
              <w:rPr>
                <w:rFonts w:ascii="Arial" w:cs="Arial" w:eastAsia="Arial" w:hAnsi="Arial"/>
                <w:sz w:val="14"/>
                <w:szCs w:val="14"/>
                <w:color w:val="auto"/>
                <w:w w:val="95"/>
              </w:rPr>
              <w:t>3.  Proposal to approve our executive compensation.</w:t>
            </w:r>
          </w:p>
        </w:tc>
        <w:tc>
          <w:tcPr>
            <w:tcW w:w="480" w:type="dxa"/>
            <w:vAlign w:val="bottom"/>
          </w:tcPr>
          <w:p>
            <w:pPr>
              <w:ind w:left="140"/>
              <w:spacing w:after="0" w:line="251" w:lineRule="exact"/>
              <w:rPr>
                <w:sz w:val="20"/>
                <w:szCs w:val="20"/>
                <w:color w:val="auto"/>
              </w:rPr>
            </w:pPr>
            <w:r>
              <w:rPr>
                <w:rFonts w:ascii="MS PGothic" w:cs="MS PGothic" w:eastAsia="MS PGothic" w:hAnsi="MS PGothic"/>
                <w:sz w:val="25"/>
                <w:szCs w:val="25"/>
                <w:color w:val="auto"/>
              </w:rPr>
              <w:t>☐</w:t>
            </w:r>
          </w:p>
        </w:tc>
        <w:tc>
          <w:tcPr>
            <w:tcW w:w="7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58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428625</wp:posOffset>
            </wp:positionV>
            <wp:extent cx="6905625" cy="203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05625" cy="20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 w:hanging="345"/>
        <w:spacing w:after="0"/>
        <w:tabs>
          <w:tab w:leader="none" w:pos="440" w:val="left"/>
        </w:tabs>
        <w:numPr>
          <w:ilvl w:val="0"/>
          <w:numId w:val="44"/>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113"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3260" w:type="dxa"/>
            <w:vAlign w:val="bottom"/>
            <w:gridSpan w:val="2"/>
          </w:tcPr>
          <w:p>
            <w:pPr>
              <w:jc w:val="right"/>
              <w:ind w:right="476"/>
              <w:spacing w:after="0"/>
              <w:rPr>
                <w:sz w:val="20"/>
                <w:szCs w:val="20"/>
                <w:color w:val="auto"/>
              </w:rPr>
            </w:pPr>
            <w:r>
              <w:rPr>
                <w:rFonts w:ascii="Arial" w:cs="Arial" w:eastAsia="Arial" w:hAnsi="Arial"/>
                <w:sz w:val="14"/>
                <w:szCs w:val="14"/>
                <w:color w:val="auto"/>
                <w:w w:val="92"/>
              </w:rPr>
              <w:t>Date (mm/dd/yyyy) – Please print date below.</w:t>
            </w:r>
          </w:p>
        </w:tc>
        <w:tc>
          <w:tcPr>
            <w:tcW w:w="3820" w:type="dxa"/>
            <w:vAlign w:val="bottom"/>
            <w:gridSpan w:val="2"/>
          </w:tcPr>
          <w:p>
            <w:pPr>
              <w:ind w:left="300"/>
              <w:spacing w:after="0"/>
              <w:rPr>
                <w:sz w:val="20"/>
                <w:szCs w:val="20"/>
                <w:color w:val="auto"/>
              </w:rPr>
            </w:pPr>
            <w:r>
              <w:rPr>
                <w:rFonts w:ascii="Arial" w:cs="Arial" w:eastAsia="Arial" w:hAnsi="Arial"/>
                <w:sz w:val="14"/>
                <w:szCs w:val="14"/>
                <w:color w:val="auto"/>
              </w:rPr>
              <w:t>Signature 1 – Please keep signature within the box.</w:t>
            </w:r>
          </w:p>
        </w:tc>
        <w:tc>
          <w:tcPr>
            <w:tcW w:w="3820" w:type="dxa"/>
            <w:vAlign w:val="bottom"/>
            <w:gridSpan w:val="2"/>
          </w:tcPr>
          <w:p>
            <w:pPr>
              <w:jc w:val="right"/>
              <w:ind w:right="620"/>
              <w:spacing w:after="0"/>
              <w:rPr>
                <w:sz w:val="20"/>
                <w:szCs w:val="20"/>
                <w:color w:val="auto"/>
              </w:rPr>
            </w:pPr>
            <w:r>
              <w:rPr>
                <w:rFonts w:ascii="Arial" w:cs="Arial" w:eastAsia="Arial" w:hAnsi="Arial"/>
                <w:sz w:val="14"/>
                <w:szCs w:val="14"/>
                <w:color w:val="auto"/>
                <w:w w:val="99"/>
              </w:rPr>
              <w:t>Signature 2 – Please keep signature within the box.</w:t>
            </w:r>
          </w:p>
        </w:tc>
      </w:tr>
      <w:tr>
        <w:trPr>
          <w:trHeight w:val="45"/>
        </w:trPr>
        <w:tc>
          <w:tcPr>
            <w:tcW w:w="15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r>
      <w:tr>
        <w:trPr>
          <w:trHeight w:val="633"/>
        </w:trPr>
        <w:tc>
          <w:tcPr>
            <w:tcW w:w="1500" w:type="dxa"/>
            <w:vAlign w:val="bottom"/>
            <w:tcBorders>
              <w:left w:val="single" w:sz="8" w:color="auto"/>
              <w:bottom w:val="single" w:sz="8" w:color="auto"/>
            </w:tcBorders>
          </w:tcPr>
          <w:p>
            <w:pPr>
              <w:jc w:val="right"/>
              <w:ind w:right="231"/>
              <w:spacing w:after="0"/>
              <w:rPr>
                <w:sz w:val="20"/>
                <w:szCs w:val="20"/>
                <w:color w:val="auto"/>
              </w:rPr>
            </w:pPr>
            <w:r>
              <w:rPr>
                <w:rFonts w:ascii="Arial" w:cs="Arial" w:eastAsia="Arial" w:hAnsi="Arial"/>
                <w:sz w:val="53"/>
                <w:szCs w:val="53"/>
                <w:b w:val="1"/>
                <w:bCs w:val="1"/>
                <w:color w:val="auto"/>
              </w:rPr>
              <w:t>/</w:t>
            </w:r>
          </w:p>
        </w:tc>
        <w:tc>
          <w:tcPr>
            <w:tcW w:w="1760" w:type="dxa"/>
            <w:vAlign w:val="bottom"/>
            <w:tcBorders>
              <w:bottom w:val="single" w:sz="8" w:color="auto"/>
              <w:right w:val="single" w:sz="8" w:color="auto"/>
            </w:tcBorders>
          </w:tcPr>
          <w:p>
            <w:pPr>
              <w:jc w:val="right"/>
              <w:ind w:right="1036"/>
              <w:spacing w:after="0"/>
              <w:rPr>
                <w:sz w:val="20"/>
                <w:szCs w:val="20"/>
                <w:color w:val="auto"/>
              </w:rPr>
            </w:pPr>
            <w:r>
              <w:rPr>
                <w:rFonts w:ascii="Arial" w:cs="Arial" w:eastAsia="Arial" w:hAnsi="Arial"/>
                <w:sz w:val="53"/>
                <w:szCs w:val="53"/>
                <w:b w:val="1"/>
                <w:bCs w:val="1"/>
                <w:color w:val="auto"/>
              </w:rPr>
              <w:t>/</w:t>
            </w:r>
          </w:p>
        </w:tc>
        <w:tc>
          <w:tcPr>
            <w:tcW w:w="36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r>
      <w:tr>
        <w:trPr>
          <w:trHeight w:val="928"/>
        </w:trPr>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Pr>
          <w:p>
            <w:pPr>
              <w:ind w:left="920"/>
              <w:spacing w:after="0"/>
              <w:rPr>
                <w:sz w:val="20"/>
                <w:szCs w:val="20"/>
                <w:color w:val="auto"/>
              </w:rPr>
            </w:pPr>
            <w:r>
              <w:rPr>
                <w:rFonts w:ascii="Arial" w:cs="Arial" w:eastAsia="Arial" w:hAnsi="Arial"/>
                <w:sz w:val="21"/>
                <w:szCs w:val="21"/>
                <w:color w:val="auto"/>
              </w:rPr>
              <w:t>1  P C F</w:t>
            </w:r>
          </w:p>
        </w:tc>
        <w:tc>
          <w:tcPr>
            <w:tcW w:w="3820" w:type="dxa"/>
            <w:vAlign w:val="bottom"/>
            <w:gridSpan w:val="2"/>
          </w:tcPr>
          <w:p>
            <w:pPr>
              <w:jc w:val="right"/>
              <w:ind w:right="440"/>
              <w:spacing w:after="0"/>
              <w:rPr>
                <w:sz w:val="20"/>
                <w:szCs w:val="20"/>
                <w:color w:val="auto"/>
              </w:rPr>
            </w:pPr>
            <w:r>
              <w:rPr>
                <w:rFonts w:ascii="Arial" w:cs="Arial" w:eastAsia="Arial" w:hAnsi="Arial"/>
                <w:sz w:val="43"/>
                <w:szCs w:val="43"/>
                <w:b w:val="1"/>
                <w:bCs w:val="1"/>
                <w:color w:val="auto"/>
              </w:rPr>
              <w:t>+</w:t>
            </w:r>
          </w:p>
        </w:tc>
      </w:tr>
      <w:tr>
        <w:trPr>
          <w:trHeight w:val="215"/>
        </w:trPr>
        <w:tc>
          <w:tcPr>
            <w:tcW w:w="1500" w:type="dxa"/>
            <w:vAlign w:val="bottom"/>
          </w:tcPr>
          <w:p>
            <w:pPr>
              <w:spacing w:after="0"/>
              <w:rPr>
                <w:sz w:val="18"/>
                <w:szCs w:val="18"/>
                <w:color w:val="auto"/>
              </w:rPr>
            </w:pPr>
          </w:p>
        </w:tc>
        <w:tc>
          <w:tcPr>
            <w:tcW w:w="1760" w:type="dxa"/>
            <w:vAlign w:val="bottom"/>
          </w:tcPr>
          <w:p>
            <w:pPr>
              <w:jc w:val="right"/>
              <w:ind w:right="376"/>
              <w:spacing w:after="0"/>
              <w:rPr>
                <w:sz w:val="20"/>
                <w:szCs w:val="20"/>
                <w:color w:val="auto"/>
              </w:rPr>
            </w:pPr>
            <w:r>
              <w:rPr>
                <w:rFonts w:ascii="Arial" w:cs="Arial" w:eastAsia="Arial" w:hAnsi="Arial"/>
                <w:sz w:val="12"/>
                <w:szCs w:val="12"/>
                <w:color w:val="auto"/>
              </w:rPr>
              <w:t>03LNCE</w:t>
            </w:r>
          </w:p>
        </w:tc>
        <w:tc>
          <w:tcPr>
            <w:tcW w:w="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-428625</wp:posOffset>
            </wp:positionV>
            <wp:extent cx="203200" cy="2114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3200" cy="211455"/>
                    </a:xfrm>
                    <a:prstGeom prst="rect">
                      <a:avLst/>
                    </a:prstGeom>
                    <a:noFill/>
                  </pic:spPr>
                </pic:pic>
              </a:graphicData>
            </a:graphic>
          </wp:anchor>
        </w:drawing>
      </w:r>
    </w:p>
    <w:p>
      <w:pPr>
        <w:sectPr>
          <w:pgSz w:w="11900" w:h="16838" w:orient="portrait"/>
          <w:cols w:equalWidth="0" w:num="1">
            <w:col w:w="10900"/>
          </w:cols>
          <w:pgMar w:left="500" w:top="1440" w:right="49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2022 Annual Meeting Admission Ticket</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Packaging Corporation of America 2022 Annual Meeting of Stockholders</w:t>
      </w:r>
    </w:p>
    <w:p>
      <w:pPr>
        <w:spacing w:after="0" w:line="11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May 17, 2022, 8:30am CT</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Packaging Corporation of America</w:t>
      </w:r>
    </w:p>
    <w:p>
      <w:pPr>
        <w:spacing w:after="0" w:line="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1 N. Field Court, Lake Forest, Illinois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Upon arrival, please present this admission ticket 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material is available at: www.envisionreports.com/PKG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241935</wp:posOffset>
            </wp:positionV>
            <wp:extent cx="6313170" cy="3467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13170" cy="34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Notice of 2022 Annual Meeting of Stockholders</w:t>
      </w:r>
    </w:p>
    <w:p>
      <w:pPr>
        <w:spacing w:after="0" w:line="1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Proxy Solicited by Board of Directors for Annual Meeting – May 17, 2022</w:t>
      </w:r>
    </w:p>
    <w:p>
      <w:pPr>
        <w:spacing w:after="0" w:line="2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MARK W. KOWLZAN, ROBERT P. MUNDY and KENT A. PFLEDERER, or any of them, each with the power of substitution, are hereby authorized to represent and vote the shares of the undersigned, with all the powers which the undersigned would possess if personally present, at the Annual Meeting of Stockholders of Packaging Corporation of America to be held on May 17, 2022 or at any postponement or adjournment thereof. Shares represented by this proxy will be voted by the stockholder. If no such directions are indicated, the Proxies will have authority to vote FOR the election of the Board of Directors and FOR items 2 and 3. In their discretion, the Proxies are authorized to vote upon such other business as may properly come before the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(Items to be voted appear on reverse side)</w:t>
      </w:r>
    </w:p>
    <w:sectPr>
      <w:pgSz w:w="11900" w:h="16838" w:orient="portrait"/>
      <w:cols w:equalWidth="0" w:num="1">
        <w:col w:w="10880"/>
      </w:cols>
      <w:pgMar w:left="500" w:top="26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2"/>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3"/>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2"/>
    </w:lvl>
  </w:abstractNum>
  <w:abstractNum w:abstractNumId="28">
    <w:nsid w:val="3804823E"/>
    <w:multiLevelType w:val="hybridMultilevel"/>
    <w:lvl w:ilvl="0">
      <w:lvlJc w:val="left"/>
      <w:lvlText w:val="(%1)"/>
      <w:numFmt w:val="decimal"/>
      <w:start w:val="3"/>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2"/>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2"/>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2"/>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A"/>
      <w:numFmt w:val="bullet"/>
      <w:start w:val="1"/>
    </w:lvl>
  </w:abstractNum>
  <w:abstractNum w:abstractNumId="43">
    <w:nsid w:val="725A06FB"/>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2022-03-25T07:26:38Z</dcterms:created>
  <dcterms:modified xsi:type="dcterms:W3CDTF">2022-03-25T07:26:38Z</dcterms:modified>
</cp:coreProperties>
</file>