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ind w:left="840" w:right="280" w:hanging="832"/>
        <w:spacing w:after="0" w:line="256" w:lineRule="auto"/>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860" w:right="220" w:hanging="852"/>
        <w:spacing w:after="0" w:line="256" w:lineRule="auto"/>
        <w:tabs>
          <w:tab w:leader="none" w:pos="8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9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3976370</wp:posOffset>
            </wp:positionH>
            <wp:positionV relativeFrom="paragraph">
              <wp:posOffset>-7620</wp:posOffset>
            </wp:positionV>
            <wp:extent cx="66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1-15399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197485</wp:posOffset>
            </wp:positionV>
            <wp:extent cx="113157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157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4720" w:type="dxa"/>
            <w:vAlign w:val="bottom"/>
          </w:tcPr>
          <w:p>
            <w:pPr>
              <w:jc w:val="center"/>
              <w:ind w:right="1481"/>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519"/>
              <w:spacing w:after="0"/>
              <w:rPr>
                <w:sz w:val="20"/>
                <w:szCs w:val="20"/>
                <w:color w:val="auto"/>
              </w:rPr>
            </w:pPr>
            <w:r>
              <w:rPr>
                <w:rFonts w:ascii="Arial" w:cs="Arial" w:eastAsia="Arial" w:hAnsi="Arial"/>
                <w:sz w:val="18"/>
                <w:szCs w:val="18"/>
                <w:b w:val="1"/>
                <w:bCs w:val="1"/>
                <w:color w:val="auto"/>
              </w:rPr>
              <w:t>36-4277050</w:t>
            </w:r>
          </w:p>
        </w:tc>
      </w:tr>
      <w:tr>
        <w:trPr>
          <w:trHeight w:val="157"/>
        </w:trPr>
        <w:tc>
          <w:tcPr>
            <w:tcW w:w="4720" w:type="dxa"/>
            <w:vAlign w:val="bottom"/>
          </w:tcPr>
          <w:p>
            <w:pPr>
              <w:jc w:val="center"/>
              <w:ind w:right="1461"/>
              <w:spacing w:after="0" w:line="157" w:lineRule="exact"/>
              <w:rPr>
                <w:sz w:val="20"/>
                <w:szCs w:val="20"/>
                <w:color w:val="auto"/>
              </w:rPr>
            </w:pPr>
            <w:r>
              <w:rPr>
                <w:rFonts w:ascii="Arial" w:cs="Arial" w:eastAsia="Arial" w:hAnsi="Arial"/>
                <w:sz w:val="14"/>
                <w:szCs w:val="14"/>
                <w:i w:val="1"/>
                <w:iCs w:val="1"/>
                <w:color w:val="auto"/>
                <w:w w:val="95"/>
              </w:rPr>
              <w:t>(State or Other Jurisdiction of</w:t>
            </w:r>
          </w:p>
        </w:tc>
        <w:tc>
          <w:tcPr>
            <w:tcW w:w="3620" w:type="dxa"/>
            <w:vAlign w:val="bottom"/>
          </w:tcPr>
          <w:p>
            <w:pPr>
              <w:jc w:val="center"/>
              <w:ind w:left="1479"/>
              <w:spacing w:after="0" w:line="157" w:lineRule="exact"/>
              <w:rPr>
                <w:sz w:val="20"/>
                <w:szCs w:val="20"/>
                <w:color w:val="auto"/>
              </w:rPr>
            </w:pPr>
            <w:r>
              <w:rPr>
                <w:rFonts w:ascii="Arial" w:cs="Arial" w:eastAsia="Arial" w:hAnsi="Arial"/>
                <w:sz w:val="14"/>
                <w:szCs w:val="14"/>
                <w:i w:val="1"/>
                <w:iCs w:val="1"/>
                <w:color w:val="auto"/>
                <w:w w:val="95"/>
              </w:rPr>
              <w:t>(I.R.S. Employer Identification No.)</w:t>
            </w:r>
          </w:p>
        </w:tc>
      </w:tr>
      <w:tr>
        <w:trPr>
          <w:trHeight w:val="182"/>
        </w:trPr>
        <w:tc>
          <w:tcPr>
            <w:tcW w:w="4720" w:type="dxa"/>
            <w:vAlign w:val="bottom"/>
          </w:tcPr>
          <w:p>
            <w:pPr>
              <w:jc w:val="center"/>
              <w:ind w:right="1461"/>
              <w:spacing w:after="0"/>
              <w:rPr>
                <w:sz w:val="20"/>
                <w:szCs w:val="20"/>
                <w:color w:val="auto"/>
              </w:rPr>
            </w:pPr>
            <w:r>
              <w:rPr>
                <w:rFonts w:ascii="Arial" w:cs="Arial" w:eastAsia="Arial" w:hAnsi="Arial"/>
                <w:sz w:val="14"/>
                <w:szCs w:val="14"/>
                <w:i w:val="1"/>
                <w:iCs w:val="1"/>
                <w:color w:val="auto"/>
                <w:w w:val="97"/>
              </w:rPr>
              <w:t>Incorporation or Organization)</w:t>
            </w:r>
          </w:p>
        </w:tc>
        <w:tc>
          <w:tcPr>
            <w:tcW w:w="3620" w:type="dxa"/>
            <w:vAlign w:val="bottom"/>
          </w:tcPr>
          <w:p>
            <w:pPr>
              <w:spacing w:after="0"/>
              <w:rPr>
                <w:sz w:val="15"/>
                <w:szCs w:val="15"/>
                <w:color w:val="auto"/>
              </w:rPr>
            </w:pPr>
          </w:p>
        </w:tc>
      </w:tr>
      <w:tr>
        <w:trPr>
          <w:trHeight w:val="331"/>
        </w:trPr>
        <w:tc>
          <w:tcPr>
            <w:tcW w:w="4720" w:type="dxa"/>
            <w:vAlign w:val="bottom"/>
          </w:tcPr>
          <w:p>
            <w:pPr>
              <w:jc w:val="center"/>
              <w:ind w:right="1481"/>
              <w:spacing w:after="0"/>
              <w:rPr>
                <w:sz w:val="20"/>
                <w:szCs w:val="20"/>
                <w:color w:val="auto"/>
              </w:rPr>
            </w:pPr>
            <w:r>
              <w:rPr>
                <w:rFonts w:ascii="Arial" w:cs="Arial" w:eastAsia="Arial" w:hAnsi="Arial"/>
                <w:sz w:val="18"/>
                <w:szCs w:val="18"/>
                <w:b w:val="1"/>
                <w:bCs w:val="1"/>
                <w:color w:val="auto"/>
                <w:w w:val="92"/>
              </w:rPr>
              <w:t>1 North Field Court, Lake Forest, Illinois</w:t>
            </w:r>
          </w:p>
        </w:tc>
        <w:tc>
          <w:tcPr>
            <w:tcW w:w="3620" w:type="dxa"/>
            <w:vAlign w:val="bottom"/>
          </w:tcPr>
          <w:p>
            <w:pPr>
              <w:jc w:val="right"/>
              <w:ind w:right="719"/>
              <w:spacing w:after="0"/>
              <w:rPr>
                <w:sz w:val="20"/>
                <w:szCs w:val="20"/>
                <w:color w:val="auto"/>
              </w:rPr>
            </w:pPr>
            <w:r>
              <w:rPr>
                <w:rFonts w:ascii="Arial" w:cs="Arial" w:eastAsia="Arial" w:hAnsi="Arial"/>
                <w:sz w:val="18"/>
                <w:szCs w:val="18"/>
                <w:b w:val="1"/>
                <w:bCs w:val="1"/>
                <w:color w:val="auto"/>
              </w:rPr>
              <w:t>60045</w:t>
            </w:r>
          </w:p>
        </w:tc>
      </w:tr>
      <w:tr>
        <w:trPr>
          <w:trHeight w:val="182"/>
        </w:trPr>
        <w:tc>
          <w:tcPr>
            <w:tcW w:w="4720" w:type="dxa"/>
            <w:vAlign w:val="bottom"/>
          </w:tcPr>
          <w:p>
            <w:pPr>
              <w:jc w:val="center"/>
              <w:ind w:right="1481"/>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620" w:type="dxa"/>
            <w:vAlign w:val="bottom"/>
          </w:tcPr>
          <w:p>
            <w:pPr>
              <w:jc w:val="center"/>
              <w:ind w:left="1479"/>
              <w:spacing w:after="0"/>
              <w:rPr>
                <w:sz w:val="20"/>
                <w:szCs w:val="20"/>
                <w:color w:val="auto"/>
              </w:rPr>
            </w:pPr>
            <w:r>
              <w:rPr>
                <w:rFonts w:ascii="Arial" w:cs="Arial" w:eastAsia="Arial" w:hAnsi="Arial"/>
                <w:sz w:val="14"/>
                <w:szCs w:val="14"/>
                <w:i w:val="1"/>
                <w:iCs w:val="1"/>
                <w:color w:val="auto"/>
                <w:w w:val="93"/>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(847) 482-3000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right="12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2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22" w:right="339" w:bottom="1440" w:gutter="0" w:footer="0" w:header="0"/>
        </w:sectPr>
      </w:pPr>
    </w:p>
    <w:p>
      <w:pPr>
        <w:spacing w:after="0" w:line="66"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66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 w:lineRule="exact"/>
        <w:rPr>
          <w:sz w:val="24"/>
          <w:szCs w:val="24"/>
          <w:color w:val="auto"/>
        </w:rPr>
      </w:pPr>
    </w:p>
    <w:p>
      <w:pPr>
        <w:sectPr>
          <w:pgSz w:w="11900" w:h="16838" w:orient="portrait"/>
          <w:cols w:equalWidth="0" w:num="6">
            <w:col w:w="1300" w:space="580"/>
            <w:col w:w="1160" w:space="720"/>
            <w:col w:w="1540" w:space="720"/>
            <w:col w:w="780" w:space="720"/>
            <w:col w:w="1560" w:space="680"/>
            <w:col w:w="1480"/>
          </w:cols>
          <w:pgMar w:left="320" w:top="422"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4">
            <w:col w:w="1220" w:space="660"/>
            <w:col w:w="1160" w:space="720"/>
            <w:col w:w="1580" w:space="680"/>
            <w:col w:w="5220"/>
          </w:cols>
          <w:pgMar w:left="320" w:top="422" w:right="339" w:bottom="1440" w:gutter="0" w:footer="0" w:header="0"/>
          <w:type w:val="continuous"/>
        </w:sectPr>
      </w:pPr>
    </w:p>
    <w:p>
      <w:pPr>
        <w:ind w:right="6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520" w:right="358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30, 2021 the Registrant had outstanding 94,994,066 shares of common stock, par value $0.01 per share. Securities registered pursuant to Section 12(b) of the Exchange Act:</w:t>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11"/>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PKG</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39"/>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101"/>
        </w:trPr>
        <w:tc>
          <w:tcPr>
            <w:tcW w:w="45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662"/>
        </w:trPr>
        <w:tc>
          <w:tcPr>
            <w:tcW w:w="45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20" w:type="dxa"/>
            <w:vAlign w:val="bottom"/>
            <w:gridSpan w:val="3"/>
          </w:tcPr>
          <w:p>
            <w:pPr>
              <w:ind w:left="1700"/>
              <w:spacing w:after="0"/>
              <w:rPr>
                <w:sz w:val="20"/>
                <w:szCs w:val="20"/>
                <w:color w:val="auto"/>
              </w:rPr>
            </w:pPr>
            <w:r>
              <w:rPr>
                <w:rFonts w:ascii="Arial" w:cs="Arial" w:eastAsia="Arial" w:hAnsi="Arial"/>
                <w:sz w:val="18"/>
                <w:szCs w:val="18"/>
                <w:b w:val="1"/>
                <w:bCs w:val="1"/>
                <w:color w:val="auto"/>
              </w:rPr>
              <w:t>Table of Contents</w:t>
            </w:r>
          </w:p>
        </w:tc>
        <w:tc>
          <w:tcPr>
            <w:tcW w:w="3880" w:type="dxa"/>
            <w:vAlign w:val="bottom"/>
          </w:tcPr>
          <w:p>
            <w:pPr>
              <w:spacing w:after="0"/>
              <w:rPr>
                <w:sz w:val="20"/>
                <w:szCs w:val="20"/>
                <w:color w:val="auto"/>
              </w:rPr>
            </w:pPr>
          </w:p>
        </w:tc>
      </w:tr>
      <w:tr>
        <w:trPr>
          <w:trHeight w:val="459"/>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PART I</w:t>
            </w:r>
          </w:p>
        </w:tc>
        <w:tc>
          <w:tcPr>
            <w:tcW w:w="388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4920" w:type="dxa"/>
            <w:vAlign w:val="bottom"/>
            <w:gridSpan w:val="5"/>
          </w:tcPr>
          <w:p>
            <w:pPr>
              <w:spacing w:after="0"/>
              <w:rPr>
                <w:sz w:val="24"/>
                <w:szCs w:val="24"/>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060" w:type="dxa"/>
            <w:vAlign w:val="bottom"/>
          </w:tcPr>
          <w:p>
            <w:pPr>
              <w:spacing w:after="0"/>
              <w:rPr>
                <w:sz w:val="24"/>
                <w:szCs w:val="24"/>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440" w:type="dxa"/>
            <w:vAlign w:val="bottom"/>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3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5"/>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jc w:val="center"/>
              <w:ind w:right="950"/>
              <w:spacing w:after="0"/>
              <w:rPr>
                <w:sz w:val="20"/>
                <w:szCs w:val="20"/>
                <w:color w:val="auto"/>
              </w:rPr>
            </w:pPr>
            <w:r>
              <w:rPr>
                <w:rFonts w:ascii="Arial" w:cs="Arial" w:eastAsia="Arial" w:hAnsi="Arial"/>
                <w:sz w:val="18"/>
                <w:szCs w:val="18"/>
                <w:b w:val="1"/>
                <w:bCs w:val="1"/>
                <w:color w:val="auto"/>
              </w:rPr>
              <w:t>PART II</w:t>
            </w:r>
          </w:p>
        </w:tc>
        <w:tc>
          <w:tcPr>
            <w:tcW w:w="388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5100" w:type="dxa"/>
            <w:vAlign w:val="bottom"/>
            <w:gridSpan w:val="6"/>
          </w:tcPr>
          <w:p>
            <w:pPr>
              <w:spacing w:after="0"/>
              <w:rPr>
                <w:sz w:val="24"/>
                <w:szCs w:val="24"/>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5520" w:type="dxa"/>
            <w:vAlign w:val="bottom"/>
            <w:gridSpan w:val="8"/>
          </w:tcPr>
          <w:p>
            <w:pPr>
              <w:spacing w:after="0"/>
              <w:rPr>
                <w:sz w:val="24"/>
                <w:szCs w:val="24"/>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2080" w:type="dxa"/>
            <w:vAlign w:val="bottom"/>
            <w:gridSpan w:val="2"/>
          </w:tcPr>
          <w:p>
            <w:pPr>
              <w:spacing w:after="0"/>
              <w:rPr>
                <w:sz w:val="24"/>
                <w:szCs w:val="24"/>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4120" w:type="dxa"/>
            <w:vAlign w:val="bottom"/>
            <w:gridSpan w:val="3"/>
          </w:tcPr>
          <w:p>
            <w:pPr>
              <w:spacing w:after="0"/>
              <w:rPr>
                <w:sz w:val="24"/>
                <w:szCs w:val="24"/>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5120" w:type="dxa"/>
            <w:vAlign w:val="bottom"/>
            <w:gridSpan w:val="7"/>
          </w:tcPr>
          <w:p>
            <w:pPr>
              <w:spacing w:after="0"/>
              <w:rPr>
                <w:sz w:val="24"/>
                <w:szCs w:val="24"/>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44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3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All reports we file with the Securities and Exchange Commission (SEC) are available free of charge via the Electronic Data Gathering Analysis and Retrieval (EDGAR) System on the SEC website at www.sec.gov. We also provide copies of our SEC filings at no charge upon request and make electronic copies of our reports available through our website at </w:t>
      </w:r>
      <w:r>
        <w:rPr>
          <w:rFonts w:ascii="Arial" w:cs="Arial" w:eastAsia="Arial" w:hAnsi="Arial"/>
          <w:sz w:val="16"/>
          <w:szCs w:val="16"/>
          <w:i w:val="1"/>
          <w:iCs w:val="1"/>
          <w:color w:val="auto"/>
        </w:rPr>
        <w:t>www.packagingcorp.com</w:t>
      </w:r>
      <w:r>
        <w:rPr>
          <w:rFonts w:ascii="Arial" w:cs="Arial" w:eastAsia="Arial" w:hAnsi="Arial"/>
          <w:sz w:val="16"/>
          <w:szCs w:val="16"/>
          <w:color w:val="auto"/>
        </w:rPr>
        <w:t xml:space="preserve"> as soon as reasonably practicable after filing such material with the SEC.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FINANCIAL STATEMENTS</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Packaging Corporation of America</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dollars in millions, except per-share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Statements of Income:</w:t>
            </w:r>
          </w:p>
        </w:tc>
        <w:tc>
          <w:tcPr>
            <w:tcW w:w="15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Net sales</w:t>
            </w:r>
          </w:p>
        </w:tc>
        <w:tc>
          <w:tcPr>
            <w:tcW w:w="24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1,807.2</w:t>
            </w:r>
          </w:p>
        </w:tc>
        <w:tc>
          <w:tcPr>
            <w:tcW w:w="180" w:type="dxa"/>
            <w:vAlign w:val="bottom"/>
          </w:tcPr>
          <w:p>
            <w:pPr>
              <w:spacing w:after="0"/>
              <w:rPr>
                <w:sz w:val="18"/>
                <w:szCs w:val="18"/>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Cost of sales</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3"/>
              </w:rPr>
              <w:t>(1,403.5)</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(1,343.7)</w:t>
            </w:r>
          </w:p>
        </w:tc>
        <w:tc>
          <w:tcPr>
            <w:tcW w:w="0" w:type="dxa"/>
            <w:vAlign w:val="bottom"/>
          </w:tcPr>
          <w:p>
            <w:pPr>
              <w:spacing w:after="0"/>
              <w:rPr>
                <w:sz w:val="1"/>
                <w:szCs w:val="1"/>
                <w:color w:val="auto"/>
              </w:rPr>
            </w:pPr>
          </w:p>
        </w:tc>
      </w:tr>
      <w:tr>
        <w:trPr>
          <w:trHeight w:val="206"/>
        </w:trPr>
        <w:tc>
          <w:tcPr>
            <w:tcW w:w="6160" w:type="dxa"/>
            <w:vAlign w:val="bottom"/>
          </w:tcPr>
          <w:p>
            <w:pPr>
              <w:ind w:left="260"/>
              <w:spacing w:after="0"/>
              <w:rPr>
                <w:sz w:val="20"/>
                <w:szCs w:val="20"/>
                <w:color w:val="auto"/>
              </w:rPr>
            </w:pPr>
            <w:r>
              <w:rPr>
                <w:rFonts w:ascii="Arial" w:cs="Arial" w:eastAsia="Arial" w:hAnsi="Arial"/>
                <w:sz w:val="16"/>
                <w:szCs w:val="16"/>
                <w:color w:val="auto"/>
              </w:rPr>
              <w:t>Gross profit</w:t>
            </w:r>
          </w:p>
        </w:tc>
        <w:tc>
          <w:tcPr>
            <w:tcW w:w="15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(145.0)</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Other expense, net</w:t>
            </w: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(20.4)</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6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Income from operations</w:t>
            </w:r>
          </w:p>
        </w:tc>
        <w:tc>
          <w:tcPr>
            <w:tcW w:w="15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238.3</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Non-operating pension income</w:t>
            </w: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(23.5)</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7"/>
        </w:trPr>
        <w:tc>
          <w:tcPr>
            <w:tcW w:w="6160" w:type="dxa"/>
            <w:vAlign w:val="bottom"/>
          </w:tcPr>
          <w:p>
            <w:pPr>
              <w:ind w:left="260"/>
              <w:spacing w:after="0"/>
              <w:rPr>
                <w:sz w:val="20"/>
                <w:szCs w:val="20"/>
                <w:color w:val="auto"/>
              </w:rPr>
            </w:pPr>
            <w:r>
              <w:rPr>
                <w:rFonts w:ascii="Arial" w:cs="Arial" w:eastAsia="Arial" w:hAnsi="Arial"/>
                <w:sz w:val="16"/>
                <w:szCs w:val="16"/>
                <w:color w:val="auto"/>
              </w:rPr>
              <w:t>Income before taxes</w:t>
            </w:r>
          </w:p>
        </w:tc>
        <w:tc>
          <w:tcPr>
            <w:tcW w:w="15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(53.1)</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60"/>
              <w:spacing w:after="0"/>
              <w:rPr>
                <w:sz w:val="20"/>
                <w:szCs w:val="20"/>
                <w:color w:val="auto"/>
              </w:rPr>
            </w:pPr>
            <w:r>
              <w:rPr>
                <w:rFonts w:ascii="Arial" w:cs="Arial" w:eastAsia="Arial" w:hAnsi="Arial"/>
                <w:sz w:val="16"/>
                <w:szCs w:val="16"/>
                <w:color w:val="auto"/>
              </w:rPr>
              <w:t>Net income</w:t>
            </w:r>
          </w:p>
        </w:tc>
        <w:tc>
          <w:tcPr>
            <w:tcW w:w="1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160" w:type="dxa"/>
            <w:vAlign w:val="bottom"/>
            <w:vMerge w:val="continue"/>
          </w:tcPr>
          <w:p>
            <w:pPr>
              <w:spacing w:after="0"/>
              <w:rPr>
                <w:sz w:val="21"/>
                <w:szCs w:val="21"/>
                <w:color w:val="auto"/>
              </w:rPr>
            </w:pPr>
          </w:p>
        </w:tc>
        <w:tc>
          <w:tcPr>
            <w:tcW w:w="1520" w:type="dxa"/>
            <w:vAlign w:val="bottom"/>
          </w:tcPr>
          <w:p>
            <w:pPr>
              <w:spacing w:after="0"/>
              <w:rPr>
                <w:sz w:val="21"/>
                <w:szCs w:val="21"/>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166.5</w:t>
            </w:r>
          </w:p>
        </w:tc>
        <w:tc>
          <w:tcPr>
            <w:tcW w:w="180" w:type="dxa"/>
            <w:vAlign w:val="bottom"/>
          </w:tcPr>
          <w:p>
            <w:pPr>
              <w:spacing w:after="0"/>
              <w:rPr>
                <w:sz w:val="21"/>
                <w:szCs w:val="21"/>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per common share:</w:t>
            </w:r>
          </w:p>
        </w:tc>
        <w:tc>
          <w:tcPr>
            <w:tcW w:w="15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160" w:type="dxa"/>
            <w:vAlign w:val="bottom"/>
          </w:tcPr>
          <w:p>
            <w:pPr>
              <w:ind w:left="260"/>
              <w:spacing w:after="0"/>
              <w:rPr>
                <w:sz w:val="20"/>
                <w:szCs w:val="20"/>
                <w:color w:val="auto"/>
              </w:rPr>
            </w:pPr>
            <w:r>
              <w:rPr>
                <w:rFonts w:ascii="Arial" w:cs="Arial" w:eastAsia="Arial" w:hAnsi="Arial"/>
                <w:sz w:val="16"/>
                <w:szCs w:val="16"/>
                <w:color w:val="auto"/>
              </w:rPr>
              <w:t>Basic</w:t>
            </w:r>
          </w:p>
        </w:tc>
        <w:tc>
          <w:tcPr>
            <w:tcW w:w="1520" w:type="dxa"/>
            <w:vAlign w:val="bottom"/>
          </w:tcPr>
          <w:p>
            <w:pPr>
              <w:spacing w:after="0"/>
              <w:rPr>
                <w:sz w:val="20"/>
                <w:szCs w:val="20"/>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1.75</w:t>
            </w:r>
          </w:p>
        </w:tc>
        <w:tc>
          <w:tcPr>
            <w:tcW w:w="180" w:type="dxa"/>
            <w:vAlign w:val="bottom"/>
          </w:tcPr>
          <w:p>
            <w:pPr>
              <w:spacing w:after="0"/>
              <w:rPr>
                <w:sz w:val="20"/>
                <w:szCs w:val="20"/>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vMerge w:val="continue"/>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Dividends declared per common share</w:t>
            </w:r>
          </w:p>
        </w:tc>
        <w:tc>
          <w:tcPr>
            <w:tcW w:w="15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vMerge w:val="continue"/>
          </w:tcPr>
          <w:p>
            <w:pPr>
              <w:spacing w:after="0"/>
              <w:rPr>
                <w:sz w:val="20"/>
                <w:szCs w:val="20"/>
                <w:color w:val="auto"/>
              </w:rPr>
            </w:pPr>
          </w:p>
        </w:tc>
        <w:tc>
          <w:tcPr>
            <w:tcW w:w="24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0"/>
                <w:szCs w:val="20"/>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Statements of Comprehensive Income:</w:t>
            </w:r>
          </w:p>
        </w:tc>
        <w:tc>
          <w:tcPr>
            <w:tcW w:w="15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Net income</w:t>
            </w:r>
          </w:p>
        </w:tc>
        <w:tc>
          <w:tcPr>
            <w:tcW w:w="24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166.5</w:t>
            </w:r>
          </w:p>
        </w:tc>
        <w:tc>
          <w:tcPr>
            <w:tcW w:w="180" w:type="dxa"/>
            <w:vAlign w:val="bottom"/>
          </w:tcPr>
          <w:p>
            <w:pPr>
              <w:spacing w:after="0"/>
              <w:rPr>
                <w:sz w:val="18"/>
                <w:szCs w:val="18"/>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160" w:type="dxa"/>
            <w:vAlign w:val="bottom"/>
          </w:tcPr>
          <w:p>
            <w:pPr>
              <w:ind w:left="260"/>
              <w:spacing w:after="0"/>
              <w:rPr>
                <w:sz w:val="20"/>
                <w:szCs w:val="20"/>
                <w:color w:val="auto"/>
              </w:rPr>
            </w:pPr>
            <w:r>
              <w:rPr>
                <w:rFonts w:ascii="Arial" w:cs="Arial" w:eastAsia="Arial" w:hAnsi="Arial"/>
                <w:sz w:val="16"/>
                <w:szCs w:val="16"/>
                <w:color w:val="auto"/>
              </w:rPr>
              <w:t>Changes in unrealized losses on marketable debt securities,</w:t>
            </w:r>
          </w:p>
        </w:tc>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80"/>
              <w:spacing w:after="0"/>
              <w:rPr>
                <w:sz w:val="20"/>
                <w:szCs w:val="20"/>
                <w:color w:val="auto"/>
              </w:rPr>
            </w:pPr>
            <w:r>
              <w:rPr>
                <w:rFonts w:ascii="Arial" w:cs="Arial" w:eastAsia="Arial" w:hAnsi="Arial"/>
                <w:sz w:val="16"/>
                <w:szCs w:val="16"/>
                <w:color w:val="auto"/>
              </w:rPr>
              <w:t>net of tax of $0.0 million and $0.1 million, for 2021 and 2020,</w:t>
            </w:r>
          </w:p>
        </w:tc>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pension and postretirement plans actuarial loss and</w:t>
            </w:r>
          </w:p>
        </w:tc>
        <w:tc>
          <w:tcPr>
            <w:tcW w:w="1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prior service cost, net of tax of $0.8 million and $0.9 million, for</w:t>
            </w: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2021 and 2020, respectively</w:t>
            </w:r>
          </w:p>
        </w:tc>
        <w:tc>
          <w:tcPr>
            <w:tcW w:w="15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comprehensive income</w:t>
            </w:r>
          </w:p>
        </w:tc>
        <w:tc>
          <w:tcPr>
            <w:tcW w:w="152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w:t>
            </w:r>
          </w:p>
        </w:tc>
        <w:tc>
          <w:tcPr>
            <w:tcW w:w="2440" w:type="dxa"/>
            <w:vAlign w:val="bottom"/>
            <w:gridSpan w:val="2"/>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condensed notes to unaudited quarterly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280"/>
        <w:spacing w:after="0"/>
        <w:rPr>
          <w:sz w:val="20"/>
          <w:szCs w:val="20"/>
          <w:color w:val="auto"/>
        </w:rPr>
      </w:pPr>
      <w:r>
        <w:rPr>
          <w:rFonts w:ascii="Arial" w:cs="Arial" w:eastAsia="Arial" w:hAnsi="Arial"/>
          <w:sz w:val="18"/>
          <w:szCs w:val="18"/>
          <w:b w:val="1"/>
          <w:bCs w:val="1"/>
          <w:color w:val="auto"/>
        </w:rPr>
        <w:t>Packaging Corporation of America</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dollars and shares in millions, except per-share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704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7"/>
                <w:szCs w:val="17"/>
                <w:color w:val="auto"/>
              </w:rPr>
            </w:pPr>
          </w:p>
        </w:tc>
      </w:tr>
      <w:tr>
        <w:trPr>
          <w:trHeight w:val="210"/>
        </w:trPr>
        <w:tc>
          <w:tcPr>
            <w:tcW w:w="7040" w:type="dxa"/>
            <w:vAlign w:val="bottom"/>
            <w:shd w:val="clear" w:color="auto" w:fill="CFF0FC"/>
          </w:tcPr>
          <w:p>
            <w:pPr>
              <w:ind w:left="3560"/>
              <w:spacing w:after="0"/>
              <w:rPr>
                <w:sz w:val="20"/>
                <w:szCs w:val="20"/>
                <w:color w:val="auto"/>
              </w:rPr>
            </w:pPr>
            <w:r>
              <w:rPr>
                <w:rFonts w:ascii="Arial" w:cs="Arial" w:eastAsia="Arial" w:hAnsi="Arial"/>
                <w:sz w:val="16"/>
                <w:szCs w:val="16"/>
                <w:b w:val="1"/>
                <w:bCs w:val="1"/>
                <w:color w:val="auto"/>
              </w:rPr>
              <w:t>ASSETS</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Current assets: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983.4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974.6</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Short-term marketable debt securities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8"/>
                <w:szCs w:val="18"/>
                <w:color w:val="auto"/>
              </w:rPr>
            </w:pPr>
          </w:p>
        </w:tc>
      </w:tr>
      <w:tr>
        <w:trPr>
          <w:trHeight w:val="20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 for credit losses and customer deductions</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7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$12.8 million as of March 31, 2021 and $10.6 million December 31, 2020, respectively</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832.4</w:t>
            </w:r>
          </w:p>
        </w:tc>
        <w:tc>
          <w:tcPr>
            <w:tcW w:w="100" w:type="dxa"/>
            <w:vAlign w:val="bottom"/>
            <w:shd w:val="clear" w:color="auto" w:fill="CFF0FC"/>
          </w:tcPr>
          <w:p>
            <w:pPr>
              <w:spacing w:after="0"/>
              <w:rPr>
                <w:sz w:val="18"/>
                <w:szCs w:val="18"/>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787.9</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Federal and state income taxes receivable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r>
      <w:tr>
        <w:trPr>
          <w:trHeight w:val="213"/>
        </w:trPr>
        <w:tc>
          <w:tcPr>
            <w:tcW w:w="7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b w:val="1"/>
                <w:bCs w:val="1"/>
                <w:color w:val="auto"/>
              </w:rPr>
              <w:t>Total current assets</w:t>
            </w:r>
          </w:p>
        </w:tc>
        <w:tc>
          <w:tcPr>
            <w:tcW w:w="8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2,856.9</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2,750.3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3,193.4</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863.5</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Long-term marketable debt securities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FF0FC"/>
          </w:tcPr>
          <w:p>
            <w:pPr>
              <w:spacing w:after="0"/>
              <w:rPr>
                <w:sz w:val="19"/>
                <w:szCs w:val="19"/>
                <w:color w:val="auto"/>
              </w:rPr>
            </w:pPr>
          </w:p>
        </w:tc>
      </w:tr>
      <w:tr>
        <w:trPr>
          <w:trHeight w:val="247"/>
        </w:trPr>
        <w:tc>
          <w:tcPr>
            <w:tcW w:w="7040" w:type="dxa"/>
            <w:vAlign w:val="bottom"/>
          </w:tcPr>
          <w:p>
            <w:pPr>
              <w:ind w:left="500"/>
              <w:spacing w:after="0"/>
              <w:rPr>
                <w:sz w:val="20"/>
                <w:szCs w:val="20"/>
                <w:color w:val="auto"/>
              </w:rPr>
            </w:pPr>
            <w:r>
              <w:rPr>
                <w:rFonts w:ascii="Arial" w:cs="Arial" w:eastAsia="Arial" w:hAnsi="Arial"/>
                <w:sz w:val="16"/>
                <w:szCs w:val="16"/>
                <w:b w:val="1"/>
                <w:bCs w:val="1"/>
                <w:color w:val="auto"/>
              </w:rPr>
              <w:t>Total assets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7,549.0</w:t>
            </w:r>
          </w:p>
        </w:tc>
        <w:tc>
          <w:tcPr>
            <w:tcW w:w="2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7,433.2</w:t>
            </w:r>
          </w:p>
        </w:tc>
        <w:tc>
          <w:tcPr>
            <w:tcW w:w="100" w:type="dxa"/>
            <w:vAlign w:val="bottom"/>
          </w:tcPr>
          <w:p>
            <w:pPr>
              <w:spacing w:after="0"/>
              <w:rPr>
                <w:sz w:val="21"/>
                <w:szCs w:val="21"/>
                <w:color w:val="auto"/>
              </w:rPr>
            </w:pPr>
          </w:p>
        </w:tc>
      </w:tr>
      <w:tr>
        <w:trPr>
          <w:trHeight w:val="199"/>
        </w:trPr>
        <w:tc>
          <w:tcPr>
            <w:tcW w:w="7040" w:type="dxa"/>
            <w:vAlign w:val="bottom"/>
            <w:tcBorders>
              <w:top w:val="single" w:sz="8" w:color="CFF0FC"/>
            </w:tcBorders>
            <w:shd w:val="clear" w:color="auto" w:fill="CFF0FC"/>
          </w:tcPr>
          <w:p>
            <w:pPr>
              <w:ind w:left="2100"/>
              <w:spacing w:after="0"/>
              <w:rPr>
                <w:sz w:val="20"/>
                <w:szCs w:val="20"/>
                <w:color w:val="auto"/>
              </w:rPr>
            </w:pPr>
            <w:r>
              <w:rPr>
                <w:rFonts w:ascii="Arial" w:cs="Arial" w:eastAsia="Arial" w:hAnsi="Arial"/>
                <w:sz w:val="16"/>
                <w:szCs w:val="16"/>
                <w:b w:val="1"/>
                <w:bCs w:val="1"/>
                <w:color w:val="auto"/>
              </w:rPr>
              <w:t>LIABILITIES AND STOCKHOLDERS' EQUITY</w:t>
            </w:r>
          </w:p>
        </w:tc>
        <w:tc>
          <w:tcPr>
            <w:tcW w:w="8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Current liabilities: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obligations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Finance lease obligations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387.0</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Dividends payable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Accrued interest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Federal and state income taxes payable</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7040" w:type="dxa"/>
            <w:vAlign w:val="bottom"/>
          </w:tcPr>
          <w:p>
            <w:pPr>
              <w:ind w:left="500"/>
              <w:spacing w:after="0"/>
              <w:rPr>
                <w:sz w:val="20"/>
                <w:szCs w:val="20"/>
                <w:color w:val="auto"/>
              </w:rPr>
            </w:pPr>
            <w:r>
              <w:rPr>
                <w:rFonts w:ascii="Arial" w:cs="Arial" w:eastAsia="Arial" w:hAnsi="Arial"/>
                <w:sz w:val="16"/>
                <w:szCs w:val="16"/>
                <w:b w:val="1"/>
                <w:bCs w:val="1"/>
                <w:color w:val="auto"/>
              </w:rPr>
              <w:t>Total current liabilities</w:t>
            </w:r>
          </w:p>
        </w:tc>
        <w:tc>
          <w:tcPr>
            <w:tcW w:w="8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805.8</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782.6</w:t>
            </w:r>
          </w:p>
        </w:tc>
        <w:tc>
          <w:tcPr>
            <w:tcW w:w="100" w:type="dxa"/>
            <w:vAlign w:val="bottom"/>
          </w:tcPr>
          <w:p>
            <w:pPr>
              <w:spacing w:after="0"/>
              <w:rPr>
                <w:sz w:val="17"/>
                <w:szCs w:val="17"/>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Long-term liabilities: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Long-term debt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2,479.4</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obligations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Finance lease obligations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379.4</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Compensation and benefits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298.3</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liabilities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59.6</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FF0FC"/>
          </w:tcPr>
          <w:p>
            <w:pPr>
              <w:spacing w:after="0"/>
              <w:rPr>
                <w:sz w:val="19"/>
                <w:szCs w:val="19"/>
                <w:color w:val="auto"/>
              </w:rPr>
            </w:pPr>
          </w:p>
        </w:tc>
      </w:tr>
      <w:tr>
        <w:trPr>
          <w:trHeight w:val="206"/>
        </w:trPr>
        <w:tc>
          <w:tcPr>
            <w:tcW w:w="7040" w:type="dxa"/>
            <w:vAlign w:val="bottom"/>
          </w:tcPr>
          <w:p>
            <w:pPr>
              <w:ind w:left="500"/>
              <w:spacing w:after="0"/>
              <w:rPr>
                <w:sz w:val="20"/>
                <w:szCs w:val="20"/>
                <w:color w:val="auto"/>
              </w:rPr>
            </w:pPr>
            <w:r>
              <w:rPr>
                <w:rFonts w:ascii="Arial" w:cs="Arial" w:eastAsia="Arial" w:hAnsi="Arial"/>
                <w:sz w:val="16"/>
                <w:szCs w:val="16"/>
                <w:b w:val="1"/>
                <w:bCs w:val="1"/>
                <w:color w:val="auto"/>
              </w:rPr>
              <w:t>Total long-term liabilities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3,412.0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3,404.3</w:t>
            </w:r>
          </w:p>
        </w:tc>
        <w:tc>
          <w:tcPr>
            <w:tcW w:w="100" w:type="dxa"/>
            <w:vAlign w:val="bottom"/>
          </w:tcPr>
          <w:p>
            <w:pPr>
              <w:spacing w:after="0"/>
              <w:rPr>
                <w:sz w:val="17"/>
                <w:szCs w:val="17"/>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contingent liabilities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Stockholders' equity:</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par value $0.01 per share, 300.0 million shares authorized, 95.0 million</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70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94.8 million shares issued as of March 31, 2021 and December 31, 2020, respectively</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FF0FC"/>
          </w:tcPr>
          <w:p>
            <w:pPr>
              <w:spacing w:after="0"/>
              <w:rPr>
                <w:sz w:val="18"/>
                <w:szCs w:val="18"/>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Additional paid in capital</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554.4</w:t>
            </w:r>
          </w:p>
        </w:tc>
        <w:tc>
          <w:tcPr>
            <w:tcW w:w="10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2,906.3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2,835.5</w:t>
            </w:r>
          </w:p>
        </w:tc>
        <w:tc>
          <w:tcPr>
            <w:tcW w:w="10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(142.1)</w:t>
            </w: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(144.5)</w:t>
            </w:r>
          </w:p>
        </w:tc>
      </w:tr>
      <w:tr>
        <w:trPr>
          <w:trHeight w:val="21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stockholders' equity</w:t>
            </w:r>
          </w:p>
        </w:tc>
        <w:tc>
          <w:tcPr>
            <w:tcW w:w="8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3,331.2</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3,246.3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704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7,549.0</w:t>
            </w:r>
          </w:p>
        </w:tc>
        <w:tc>
          <w:tcPr>
            <w:tcW w:w="26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7,433.2</w:t>
            </w:r>
          </w:p>
        </w:tc>
        <w:tc>
          <w:tcPr>
            <w:tcW w:w="100" w:type="dxa"/>
            <w:vAlign w:val="bottom"/>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condensed notes to unaudited quarterly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4280"/>
        <w:spacing w:after="0"/>
        <w:rPr>
          <w:sz w:val="20"/>
          <w:szCs w:val="20"/>
          <w:color w:val="auto"/>
        </w:rPr>
      </w:pPr>
      <w:r>
        <w:rPr>
          <w:rFonts w:ascii="Arial" w:cs="Arial" w:eastAsia="Arial" w:hAnsi="Arial"/>
          <w:sz w:val="18"/>
          <w:szCs w:val="18"/>
          <w:b w:val="1"/>
          <w:bCs w:val="1"/>
          <w:color w:val="auto"/>
        </w:rPr>
        <w:t>Packaging Corporation of America</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dollars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51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Net income</w:t>
            </w:r>
          </w:p>
        </w:tc>
        <w:tc>
          <w:tcPr>
            <w:tcW w:w="226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166.5</w:t>
            </w:r>
          </w:p>
        </w:tc>
        <w:tc>
          <w:tcPr>
            <w:tcW w:w="280" w:type="dxa"/>
            <w:vAlign w:val="bottom"/>
          </w:tcPr>
          <w:p>
            <w:pPr>
              <w:spacing w:after="0"/>
              <w:rPr>
                <w:sz w:val="18"/>
                <w:szCs w:val="18"/>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Depreciation, depletion, and amortization of intangibles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100.8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deferred financing costs</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Share-based compensation expense</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provision</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Loss on asset disposals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Pension and post-retirement benefits expense, net of contributions</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Other, net</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Increase in assets —</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(76.2)</w:t>
            </w: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3"/>
        </w:trPr>
        <w:tc>
          <w:tcPr>
            <w:tcW w:w="660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(11.7)</w:t>
            </w:r>
          </w:p>
        </w:tc>
        <w:tc>
          <w:tcPr>
            <w:tcW w:w="5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w:t>
            </w: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Increase (decrease) in liabilities —</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(12.3)</w:t>
            </w: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5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Federal and state income taxes payable / receivable</w:t>
            </w:r>
          </w:p>
        </w:tc>
        <w:tc>
          <w:tcPr>
            <w:tcW w:w="13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00" w:type="dxa"/>
            <w:vAlign w:val="bottom"/>
            <w:tcBorders>
              <w:bottom w:val="single" w:sz="8" w:color="CFF0FC"/>
            </w:tcBorders>
          </w:tcPr>
          <w:p>
            <w:pPr>
              <w:ind w:left="500"/>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280" w:type="dxa"/>
            <w:vAlign w:val="bottom"/>
            <w:tcBorders>
              <w:bottom w:val="single" w:sz="8" w:color="CFF0FC"/>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Additions to property, plant, and equipment</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(85.1)</w:t>
            </w:r>
          </w:p>
        </w:tc>
        <w:tc>
          <w:tcPr>
            <w:tcW w:w="5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other long term assets</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w:t>
            </w: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Proceeds from asset disposals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marketable debt securities</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(31.4)</w:t>
            </w: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Proceeds from sales of marketable debt securities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maturities of marketable debt securities</w:t>
            </w:r>
          </w:p>
        </w:tc>
        <w:tc>
          <w:tcPr>
            <w:tcW w:w="13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0" w:type="dxa"/>
            <w:vAlign w:val="bottom"/>
          </w:tcPr>
          <w:p>
            <w:pPr>
              <w:ind w:left="500"/>
              <w:spacing w:after="0"/>
              <w:rPr>
                <w:sz w:val="20"/>
                <w:szCs w:val="20"/>
                <w:color w:val="auto"/>
              </w:rPr>
            </w:pPr>
            <w:r>
              <w:rPr>
                <w:rFonts w:ascii="Arial" w:cs="Arial" w:eastAsia="Arial" w:hAnsi="Arial"/>
                <w:sz w:val="16"/>
                <w:szCs w:val="16"/>
                <w:b w:val="1"/>
                <w:bCs w:val="1"/>
                <w:color w:val="auto"/>
              </w:rPr>
              <w:t>Net cash used for investing activities</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(87.5)</w:t>
            </w: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Repayments of debt and finance lease obligations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(0.4)</w:t>
            </w:r>
          </w:p>
        </w:tc>
        <w:tc>
          <w:tcPr>
            <w:tcW w:w="5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dividends paid</w:t>
            </w:r>
          </w:p>
        </w:tc>
        <w:tc>
          <w:tcPr>
            <w:tcW w:w="1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(94.8)</w:t>
            </w: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Shares withheld to cover employee restricted stock taxes</w:t>
            </w: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(0.1)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FF0FC"/>
          </w:tcPr>
          <w:p>
            <w:pPr>
              <w:ind w:left="500"/>
              <w:spacing w:after="0"/>
              <w:rPr>
                <w:sz w:val="20"/>
                <w:szCs w:val="20"/>
                <w:color w:val="auto"/>
              </w:rPr>
            </w:pPr>
            <w:r>
              <w:rPr>
                <w:rFonts w:ascii="Arial" w:cs="Arial" w:eastAsia="Arial" w:hAnsi="Arial"/>
                <w:sz w:val="16"/>
                <w:szCs w:val="16"/>
                <w:b w:val="1"/>
                <w:bCs w:val="1"/>
                <w:color w:val="auto"/>
              </w:rPr>
              <w:t>Net cash used for financing activities</w:t>
            </w:r>
          </w:p>
        </w:tc>
        <w:tc>
          <w:tcPr>
            <w:tcW w:w="13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0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(95.3)</w:t>
            </w:r>
          </w:p>
        </w:tc>
        <w:tc>
          <w:tcPr>
            <w:tcW w:w="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07"/>
        </w:trPr>
        <w:tc>
          <w:tcPr>
            <w:tcW w:w="6600" w:type="dxa"/>
            <w:vAlign w:val="bottom"/>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13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2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beginning of period</w:t>
            </w:r>
          </w:p>
        </w:tc>
        <w:tc>
          <w:tcPr>
            <w:tcW w:w="13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974.6</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period</w:t>
            </w:r>
          </w:p>
        </w:tc>
        <w:tc>
          <w:tcPr>
            <w:tcW w:w="226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983.4</w:t>
            </w:r>
          </w:p>
        </w:tc>
        <w:tc>
          <w:tcPr>
            <w:tcW w:w="280" w:type="dxa"/>
            <w:vAlign w:val="bottom"/>
          </w:tcPr>
          <w:p>
            <w:pPr>
              <w:spacing w:after="0"/>
              <w:rPr>
                <w:sz w:val="17"/>
                <w:szCs w:val="17"/>
                <w:color w:val="auto"/>
              </w:rPr>
            </w:pP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condensed notes to unaudited quarterly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280"/>
        <w:spacing w:after="0"/>
        <w:rPr>
          <w:sz w:val="20"/>
          <w:szCs w:val="20"/>
          <w:color w:val="auto"/>
        </w:rPr>
      </w:pPr>
      <w:r>
        <w:rPr>
          <w:rFonts w:ascii="Arial" w:cs="Arial" w:eastAsia="Arial" w:hAnsi="Arial"/>
          <w:sz w:val="18"/>
          <w:szCs w:val="18"/>
          <w:b w:val="1"/>
          <w:bCs w:val="1"/>
          <w:color w:val="auto"/>
        </w:rPr>
        <w:t>Packaging Corporation of America</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dollars in millions and shares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9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Paid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46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42"/>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w w:val="96"/>
              </w:rPr>
              <w:t>Earnings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1"/>
              <w:spacing w:after="0" w:line="155"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Balance at January 1, 2021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94,830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2,835.5</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(144.5)</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20" w:type="dxa"/>
            <w:vAlign w:val="bottom"/>
          </w:tcPr>
          <w:p>
            <w:pPr>
              <w:ind w:left="260"/>
              <w:spacing w:after="0"/>
              <w:rPr>
                <w:sz w:val="20"/>
                <w:szCs w:val="20"/>
                <w:color w:val="auto"/>
              </w:rPr>
            </w:pPr>
            <w:r>
              <w:rPr>
                <w:rFonts w:ascii="Arial" w:cs="Arial" w:eastAsia="Arial" w:hAnsi="Arial"/>
                <w:sz w:val="16"/>
                <w:szCs w:val="16"/>
                <w:color w:val="auto"/>
              </w:rPr>
              <w:t>Common stock withheld and retired to</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380"/>
              <w:spacing w:after="0"/>
              <w:rPr>
                <w:sz w:val="20"/>
                <w:szCs w:val="20"/>
                <w:color w:val="auto"/>
              </w:rPr>
            </w:pPr>
            <w:r>
              <w:rPr>
                <w:rFonts w:ascii="Arial" w:cs="Arial" w:eastAsia="Arial" w:hAnsi="Arial"/>
                <w:sz w:val="16"/>
                <w:szCs w:val="16"/>
                <w:color w:val="auto"/>
              </w:rPr>
              <w:t>cover taxes on vested stock awards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dividends declared</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13"/>
        </w:trPr>
        <w:tc>
          <w:tcPr>
            <w:tcW w:w="462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Comprehensive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Balance at March 31, 2021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94,994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2,906.3</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(142.1)</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4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4"/>
                <w:szCs w:val="24"/>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9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Paid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46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42"/>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w w:val="96"/>
              </w:rPr>
              <w:t>Earnings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1"/>
              <w:spacing w:after="0" w:line="155"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Balance at January 1, 2020</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94,655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2,704.8</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(159.5)</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20" w:type="dxa"/>
            <w:vAlign w:val="bottom"/>
          </w:tcPr>
          <w:p>
            <w:pPr>
              <w:ind w:left="260"/>
              <w:spacing w:after="0"/>
              <w:rPr>
                <w:sz w:val="20"/>
                <w:szCs w:val="20"/>
                <w:color w:val="auto"/>
              </w:rPr>
            </w:pPr>
            <w:r>
              <w:rPr>
                <w:rFonts w:ascii="Arial" w:cs="Arial" w:eastAsia="Arial" w:hAnsi="Arial"/>
                <w:sz w:val="16"/>
                <w:szCs w:val="16"/>
                <w:color w:val="auto"/>
              </w:rPr>
              <w:t>Common stock withheld and retired to</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380"/>
              <w:spacing w:after="0"/>
              <w:rPr>
                <w:sz w:val="20"/>
                <w:szCs w:val="20"/>
                <w:color w:val="auto"/>
              </w:rPr>
            </w:pPr>
            <w:r>
              <w:rPr>
                <w:rFonts w:ascii="Arial" w:cs="Arial" w:eastAsia="Arial" w:hAnsi="Arial"/>
                <w:sz w:val="16"/>
                <w:szCs w:val="16"/>
                <w:color w:val="auto"/>
              </w:rPr>
              <w:t>cover taxes on vested stock awards</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dividends declared</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(75.3)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3"/>
        </w:trPr>
        <w:tc>
          <w:tcPr>
            <w:tcW w:w="462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Comprehensive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Balance at March 31, 2020</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2,771.1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(157.0)</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condensed notes to unaudited quarterly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Condensed Notes to Unaudited Quarterly Consolidated Financial Statements</w:t>
      </w:r>
    </w:p>
    <w:p>
      <w:pPr>
        <w:spacing w:after="0" w:line="15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Presentation</w:t>
      </w:r>
    </w:p>
    <w:p>
      <w:pPr>
        <w:spacing w:after="0" w:line="126" w:lineRule="exact"/>
        <w:rPr>
          <w:sz w:val="20"/>
          <w:szCs w:val="20"/>
          <w:color w:val="auto"/>
        </w:rPr>
      </w:pPr>
    </w:p>
    <w:p>
      <w:pPr>
        <w:ind w:right="20" w:firstLine="510"/>
        <w:spacing w:after="0" w:line="278" w:lineRule="auto"/>
        <w:rPr>
          <w:sz w:val="20"/>
          <w:szCs w:val="20"/>
          <w:color w:val="auto"/>
        </w:rPr>
      </w:pPr>
      <w:r>
        <w:rPr>
          <w:rFonts w:ascii="Arial" w:cs="Arial" w:eastAsia="Arial" w:hAnsi="Arial"/>
          <w:sz w:val="16"/>
          <w:szCs w:val="16"/>
          <w:color w:val="auto"/>
        </w:rPr>
        <w:t>Packaging Corporation of America ("we," "us," "our," PCA," or the "Company") was incorporated on January 25, 1999. In April 1999, PCA acquired the containerboard and corrugated packaging products business of Pactiv Corporation (Pactiv), formerly known as Tenneco Packaging, Inc. We are a large diverse manufacturer of both packaging and paper products. We are headquartered in Lake Forest, Illinois and we operate primarily in the United States.</w:t>
      </w:r>
    </w:p>
    <w:p>
      <w:pPr>
        <w:spacing w:after="0" w:line="184" w:lineRule="exact"/>
        <w:rPr>
          <w:sz w:val="20"/>
          <w:szCs w:val="20"/>
          <w:color w:val="auto"/>
        </w:rPr>
      </w:pPr>
    </w:p>
    <w:p>
      <w:pPr>
        <w:ind w:right="60" w:firstLine="510"/>
        <w:spacing w:after="0" w:line="273" w:lineRule="auto"/>
        <w:rPr>
          <w:sz w:val="20"/>
          <w:szCs w:val="20"/>
          <w:color w:val="auto"/>
        </w:rPr>
      </w:pPr>
      <w:r>
        <w:rPr>
          <w:rFonts w:ascii="Arial" w:cs="Arial" w:eastAsia="Arial" w:hAnsi="Arial"/>
          <w:sz w:val="16"/>
          <w:szCs w:val="16"/>
          <w:color w:val="auto"/>
        </w:rPr>
        <w:t>We report our business in three reportable segments: Packaging, Paper, and Corporate and Other. Our Packaging segment produces a wide variety of containerboard and corrugated packaging products. The Paper segment manufactures and sells a range of communication-based papers. Corporate and Other includes support staff services and related assets and liabilities, transportation assets, and activity related to other ancillary support operations. For more information about our segments, see Note 18, Segment Information.</w:t>
      </w:r>
    </w:p>
    <w:p>
      <w:pPr>
        <w:spacing w:after="0" w:line="189" w:lineRule="exact"/>
        <w:rPr>
          <w:sz w:val="20"/>
          <w:szCs w:val="20"/>
          <w:color w:val="auto"/>
        </w:rPr>
      </w:pPr>
    </w:p>
    <w:p>
      <w:pPr>
        <w:ind w:right="80" w:firstLine="510"/>
        <w:spacing w:after="0" w:line="297" w:lineRule="auto"/>
        <w:rPr>
          <w:sz w:val="20"/>
          <w:szCs w:val="20"/>
          <w:color w:val="auto"/>
        </w:rPr>
      </w:pPr>
      <w:r>
        <w:rPr>
          <w:rFonts w:ascii="Arial" w:cs="Arial" w:eastAsia="Arial" w:hAnsi="Arial"/>
          <w:sz w:val="15"/>
          <w:szCs w:val="15"/>
          <w:color w:val="auto"/>
        </w:rPr>
        <w:t>During the fourth quarter of 2020, in order to meet strong packaging demand and maintain appropriate inventory levels, we temporarily began producing linerboard on the No. 3 machine at our Jackson, Alabama mill. In the first quarter of 2021, we announced the discontinuation of production of uncoated freesheet paper grades on the machine and the permanent conversion of the machine to produce linerboard. Before October 2020, operating results for the Jackson mill were included in the Paper segment. Beginning in October 2020, operating results for the Jackson mill are included in both the Packaging and Paper segments.</w:t>
      </w:r>
    </w:p>
    <w:p>
      <w:pPr>
        <w:spacing w:after="0" w:line="172" w:lineRule="exact"/>
        <w:rPr>
          <w:sz w:val="20"/>
          <w:szCs w:val="20"/>
          <w:color w:val="auto"/>
        </w:rPr>
      </w:pPr>
    </w:p>
    <w:p>
      <w:pPr>
        <w:ind w:right="320" w:firstLine="510"/>
        <w:spacing w:after="0" w:line="293" w:lineRule="auto"/>
        <w:rPr>
          <w:sz w:val="20"/>
          <w:szCs w:val="20"/>
          <w:color w:val="auto"/>
        </w:rPr>
      </w:pPr>
      <w:r>
        <w:rPr>
          <w:rFonts w:ascii="Arial" w:cs="Arial" w:eastAsia="Arial" w:hAnsi="Arial"/>
          <w:sz w:val="16"/>
          <w:szCs w:val="16"/>
          <w:color w:val="auto"/>
        </w:rPr>
        <w:t>In these consolidated financial statements, certain amounts in prior periods’ consolidated financial statements have been reclassified to conform with the current period presentation.</w:t>
      </w:r>
    </w:p>
    <w:p>
      <w:pPr>
        <w:spacing w:after="0" w:line="172" w:lineRule="exact"/>
        <w:rPr>
          <w:sz w:val="20"/>
          <w:szCs w:val="20"/>
          <w:color w:val="auto"/>
        </w:rPr>
      </w:pPr>
    </w:p>
    <w:p>
      <w:pPr>
        <w:ind w:firstLine="510"/>
        <w:spacing w:after="0" w:line="268" w:lineRule="auto"/>
        <w:rPr>
          <w:sz w:val="20"/>
          <w:szCs w:val="20"/>
          <w:color w:val="auto"/>
        </w:rPr>
      </w:pPr>
      <w:r>
        <w:rPr>
          <w:rFonts w:ascii="Arial" w:cs="Arial" w:eastAsia="Arial" w:hAnsi="Arial"/>
          <w:sz w:val="16"/>
          <w:szCs w:val="16"/>
          <w:color w:val="auto"/>
        </w:rPr>
        <w:t>The consolidated financial statements of PCA as of March 31, 2021 and for the three months ended March 31, 2021 and 2020 are unaudited but include all adjustments (consisting only of normal recurring adjustments) that management considers necessary for a fair presentation of such financial statements. The preparation of the consolidated financial statements involves the use of estimates and accruals. Actual results may vary from those estimates. These financial statements have been prepared in accordance with accounting principles generally accepted in the United States for interim financial information and with Article 10 of Regulation S-X of the Securities and Exchange Commission (SEC). Accordingly, they do not include all of the information and notes required by accounting principles generally accepted in the United States for complete audited financial statements. Operating results for the three months ended March 31, 2021 are not necessarily indicative of the results that may be expected for the year ending December 31, 2021. These consolidated financial statements should be read in conjunction with our Annual Report on Form 10-K for the year ended December 31, 2020.</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consolidated financial statements include the accounts of PCA and its majority-owned subsidiaries after elimination of intercompany balances and transactions.</w:t>
      </w:r>
    </w:p>
    <w:p>
      <w:pPr>
        <w:spacing w:after="0" w:line="38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w:t>
      </w:r>
    </w:p>
    <w:p>
      <w:pPr>
        <w:spacing w:after="0" w:line="288" w:lineRule="exact"/>
        <w:rPr>
          <w:sz w:val="20"/>
          <w:szCs w:val="20"/>
          <w:color w:val="auto"/>
        </w:rPr>
      </w:pPr>
    </w:p>
    <w:p>
      <w:pPr>
        <w:ind w:right="40" w:firstLine="510"/>
        <w:spacing w:after="0" w:line="313" w:lineRule="auto"/>
        <w:rPr>
          <w:sz w:val="20"/>
          <w:szCs w:val="20"/>
          <w:color w:val="auto"/>
        </w:rPr>
      </w:pPr>
      <w:r>
        <w:rPr>
          <w:rFonts w:ascii="Arial" w:cs="Arial" w:eastAsia="Arial" w:hAnsi="Arial"/>
          <w:sz w:val="14"/>
          <w:szCs w:val="14"/>
          <w:color w:val="auto"/>
        </w:rPr>
        <w:t xml:space="preserve">In March 2020, the FASB issued ASU 2020-04, </w:t>
      </w:r>
      <w:r>
        <w:rPr>
          <w:rFonts w:ascii="Arial" w:cs="Arial" w:eastAsia="Arial" w:hAnsi="Arial"/>
          <w:sz w:val="14"/>
          <w:szCs w:val="14"/>
          <w:i w:val="1"/>
          <w:iCs w:val="1"/>
          <w:color w:val="auto"/>
        </w:rPr>
        <w:t>Reference Rate Reform</w:t>
      </w:r>
      <w:r>
        <w:rPr>
          <w:rFonts w:ascii="Arial" w:cs="Arial" w:eastAsia="Arial" w:hAnsi="Arial"/>
          <w:sz w:val="14"/>
          <w:szCs w:val="14"/>
          <w:color w:val="auto"/>
        </w:rPr>
        <w:t xml:space="preserve"> (Topic 848): </w:t>
      </w:r>
      <w:r>
        <w:rPr>
          <w:rFonts w:ascii="Arial" w:cs="Arial" w:eastAsia="Arial" w:hAnsi="Arial"/>
          <w:sz w:val="14"/>
          <w:szCs w:val="14"/>
          <w:i w:val="1"/>
          <w:iCs w:val="1"/>
          <w:color w:val="auto"/>
        </w:rPr>
        <w:t>Facilitation of the Effects of Reference Rate Reform on Financial Reporting.</w:t>
      </w:r>
      <w:r>
        <w:rPr>
          <w:rFonts w:ascii="Arial" w:cs="Arial" w:eastAsia="Arial" w:hAnsi="Arial"/>
          <w:sz w:val="14"/>
          <w:szCs w:val="14"/>
          <w:color w:val="auto"/>
        </w:rPr>
        <w:t xml:space="preserve"> ASU 2020-04 provides optional guidance for a limited period of time to ease the potential burden in accounting for, or recognizing the effects of, reference rate reform on financial reporting. The amendments in this Update are elective and apply to all entities, subject to meeting certain criteria, that have contracts, hedging relationships, and other transactions that reference LIBOR or another reference rate expected to be discontinued because of reference rate reform. Companies can apply the ASU immediately, but the guidance will only be available until December 31, 2022. While the Company’s fixed-rate outstanding debt will not be impacted by the reference rate reform, the Company is still evaluating the impact of this guidance on its revolving credit facility, as the interest rate associated with any future borrowings against the revolving credit facility is based on LIBOR. Overall, the Company does not expect the guidance to have a significant impact on its financial position or related disclosures.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There were no other accounting standards recently issued that had or are expected to have a material impact on our financial position or results of operations.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122" w:lineRule="exact"/>
        <w:rPr>
          <w:sz w:val="20"/>
          <w:szCs w:val="20"/>
          <w:color w:val="auto"/>
        </w:rPr>
      </w:pPr>
    </w:p>
    <w:p>
      <w:pPr>
        <w:ind w:right="220" w:firstLine="510"/>
        <w:spacing w:after="0" w:line="369" w:lineRule="auto"/>
        <w:rPr>
          <w:sz w:val="20"/>
          <w:szCs w:val="20"/>
          <w:color w:val="auto"/>
        </w:rPr>
      </w:pPr>
      <w:r>
        <w:rPr>
          <w:rFonts w:ascii="Arial" w:cs="Arial" w:eastAsia="Arial" w:hAnsi="Arial"/>
          <w:sz w:val="14"/>
          <w:szCs w:val="14"/>
          <w:color w:val="auto"/>
        </w:rPr>
        <w:t>Revenue is recognized when control of the promised goods or services is transferred to customers in an amount that reflects the consideration expected to be received in exchange for those goods or services. Sales, value added, and other taxes collected concurrently with revenue-producing activities are excluded from revenue.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our revenues disaggregated by product line (dollars in millions):</w:t>
      </w:r>
    </w:p>
    <w:p>
      <w:pPr>
        <w:spacing w:after="0" w:line="235"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wp:posOffset>
            </wp:positionV>
            <wp:extent cx="15259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0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Packaging</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1,467.5</w:t>
            </w:r>
          </w:p>
        </w:tc>
        <w:tc>
          <w:tcPr>
            <w:tcW w:w="80" w:type="dxa"/>
            <w:vAlign w:val="bottom"/>
            <w:shd w:val="clear" w:color="auto" w:fill="CFF0FC"/>
          </w:tcPr>
          <w:p>
            <w:pPr>
              <w:spacing w:after="0"/>
              <w:rPr>
                <w:sz w:val="18"/>
                <w:szCs w:val="18"/>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Paper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8"/>
                <w:szCs w:val="18"/>
                <w:color w:val="auto"/>
              </w:rPr>
            </w:pP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FF0FC"/>
          </w:tcPr>
          <w:p>
            <w:pPr>
              <w:spacing w:after="0"/>
              <w:rPr>
                <w:sz w:val="19"/>
                <w:szCs w:val="19"/>
                <w:color w:val="auto"/>
              </w:rPr>
            </w:pPr>
          </w:p>
        </w:tc>
      </w:tr>
      <w:tr>
        <w:trPr>
          <w:trHeight w:val="206"/>
        </w:trPr>
        <w:tc>
          <w:tcPr>
            <w:tcW w:w="5380" w:type="dxa"/>
            <w:vAlign w:val="bottom"/>
          </w:tcPr>
          <w:p>
            <w:pPr>
              <w:ind w:left="1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1,807.2</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1,708.7</w:t>
            </w:r>
          </w:p>
        </w:tc>
        <w:tc>
          <w:tcPr>
            <w:tcW w:w="8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Packaging Revenue</w:t>
      </w:r>
    </w:p>
    <w:p>
      <w:pPr>
        <w:spacing w:after="0" w:line="122" w:lineRule="exact"/>
        <w:rPr>
          <w:sz w:val="20"/>
          <w:szCs w:val="20"/>
          <w:color w:val="auto"/>
        </w:rPr>
      </w:pPr>
    </w:p>
    <w:p>
      <w:pPr>
        <w:ind w:right="60" w:firstLine="510"/>
        <w:spacing w:after="0" w:line="297" w:lineRule="auto"/>
        <w:rPr>
          <w:sz w:val="20"/>
          <w:szCs w:val="20"/>
          <w:color w:val="auto"/>
        </w:rPr>
      </w:pPr>
      <w:r>
        <w:rPr>
          <w:rFonts w:ascii="Arial" w:cs="Arial" w:eastAsia="Arial" w:hAnsi="Arial"/>
          <w:sz w:val="15"/>
          <w:szCs w:val="15"/>
          <w:color w:val="auto"/>
        </w:rPr>
        <w:t>Our containerboard mills produce linerboard and corrugating medium which are papers primarily used in the production of corrugated products. The majority of our containerboard production is used internally by our corrugated products manufacturing facilities. The remaining containerboard is sold to outside domestic and export customers. Our corrugated products manufacturing plants produce a wide variety of corrugated packaging products and retail merchandise displays. We sell corrugated products to national, regional and local accounts, which are broadly diversified across industries and geographic locations.</w:t>
      </w:r>
    </w:p>
    <w:p>
      <w:pPr>
        <w:spacing w:after="0" w:line="172" w:lineRule="exact"/>
        <w:rPr>
          <w:sz w:val="20"/>
          <w:szCs w:val="20"/>
          <w:color w:val="auto"/>
        </w:rPr>
      </w:pPr>
    </w:p>
    <w:p>
      <w:pPr>
        <w:ind w:right="140" w:firstLine="510"/>
        <w:spacing w:after="0" w:line="269" w:lineRule="auto"/>
        <w:rPr>
          <w:sz w:val="20"/>
          <w:szCs w:val="20"/>
          <w:color w:val="auto"/>
        </w:rPr>
      </w:pPr>
      <w:r>
        <w:rPr>
          <w:rFonts w:ascii="Arial" w:cs="Arial" w:eastAsia="Arial" w:hAnsi="Arial"/>
          <w:sz w:val="16"/>
          <w:szCs w:val="16"/>
          <w:color w:val="auto"/>
        </w:rPr>
        <w:t>The Company recognizes revenue for its packaging products when performance obligations under the terms of a contract with a customer are satisfied. This occurs with the transfer of control of our products at a specific point in time. Based on our express terms and conditions of the sale of products to our customers, as well as terms included in contractual arrangements with our customers, we do not have an enforceable right of payment that includes a reasonable profit throughout the duration of the contract for products that do not have an alternative use. Revenue is recognized when the product is shipped from the mill or from our manufacturing facility to our customer. Certain customers may receive volume-based incentives, which are accounted for as variable consideration. We estimate these amounts based on the expected amount to be provided to customers and reduce revenue recognized.</w:t>
      </w:r>
    </w:p>
    <w:p>
      <w:pPr>
        <w:spacing w:after="0" w:line="194" w:lineRule="exact"/>
        <w:rPr>
          <w:sz w:val="20"/>
          <w:szCs w:val="20"/>
          <w:color w:val="auto"/>
        </w:rPr>
      </w:pPr>
    </w:p>
    <w:p>
      <w:pPr>
        <w:ind w:right="280" w:firstLine="510"/>
        <w:spacing w:after="0" w:line="278" w:lineRule="auto"/>
        <w:rPr>
          <w:sz w:val="20"/>
          <w:szCs w:val="20"/>
          <w:color w:val="auto"/>
        </w:rPr>
      </w:pPr>
      <w:r>
        <w:rPr>
          <w:rFonts w:ascii="Arial" w:cs="Arial" w:eastAsia="Arial" w:hAnsi="Arial"/>
          <w:sz w:val="16"/>
          <w:szCs w:val="16"/>
          <w:color w:val="auto"/>
        </w:rPr>
        <w:t>Certain customers receive a portion of their packaging products as consigned inventory with billing triggered once the customer uses or consumes the designated product. Prior to invoicing, these amounts are handled as unbilled receivables. Total unbilled receivables, which are immaterial in amount, are included in the accounts receivable financial statement caption.</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Paper Revenue</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manufacture and sell a range of communication-based papers. Communication papers consist of cut-size office papers, and printing and converting papers.</w:t>
      </w:r>
    </w:p>
    <w:p>
      <w:pPr>
        <w:spacing w:after="0" w:line="246" w:lineRule="exact"/>
        <w:rPr>
          <w:sz w:val="20"/>
          <w:szCs w:val="20"/>
          <w:color w:val="auto"/>
        </w:rPr>
      </w:pPr>
    </w:p>
    <w:p>
      <w:pPr>
        <w:ind w:right="120" w:firstLine="510"/>
        <w:spacing w:after="0" w:line="273" w:lineRule="auto"/>
        <w:rPr>
          <w:sz w:val="20"/>
          <w:szCs w:val="20"/>
          <w:color w:val="auto"/>
        </w:rPr>
      </w:pPr>
      <w:r>
        <w:rPr>
          <w:rFonts w:ascii="Arial" w:cs="Arial" w:eastAsia="Arial" w:hAnsi="Arial"/>
          <w:sz w:val="16"/>
          <w:szCs w:val="16"/>
          <w:color w:val="auto"/>
        </w:rPr>
        <w:t>The Company recognizes revenue for its paper products when performance obligations under the terms of a contract with a customer are satisfied. This occurs with the transfer of control of our products at a specific point in time. Revenue is recognized when the product is shipped from the mill or from our manufacturing facility or distribution center to our customer. Certain customers may receive volume-based incentives, which are accounted for as variable consideration. We estimate these amounts based on the expected amount to be provided to customers and reduce revenue recognized.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Corporate and Other Revenue</w:t>
      </w:r>
    </w:p>
    <w:p>
      <w:pPr>
        <w:spacing w:after="0" w:line="122" w:lineRule="exact"/>
        <w:rPr>
          <w:sz w:val="20"/>
          <w:szCs w:val="20"/>
          <w:color w:val="auto"/>
        </w:rPr>
      </w:pPr>
    </w:p>
    <w:p>
      <w:pPr>
        <w:ind w:right="140" w:firstLine="510"/>
        <w:spacing w:after="0" w:line="273" w:lineRule="auto"/>
        <w:rPr>
          <w:sz w:val="20"/>
          <w:szCs w:val="20"/>
          <w:color w:val="auto"/>
        </w:rPr>
      </w:pPr>
      <w:r>
        <w:rPr>
          <w:rFonts w:ascii="Arial" w:cs="Arial" w:eastAsia="Arial" w:hAnsi="Arial"/>
          <w:sz w:val="16"/>
          <w:szCs w:val="16"/>
          <w:color w:val="auto"/>
        </w:rPr>
        <w:t>Revenue in this segment primarily relates to Louisiana Timber Procurement Company, L.L.C. (LTP), a variable-interest entity that is 50% owned by PCA and 50% owned by Boise Cascade Company (Boise Cascade). PCA is the primary beneficiary of LTP and has the power to direct the activities that most significantly affect the economic performance of LTP. Therefore, we consolidate 100% of LTP in our financial statements. See Note 17, Transactions With Related Parties, for more information related to LTP.</w:t>
      </w:r>
    </w:p>
    <w:p>
      <w:pPr>
        <w:spacing w:after="0" w:line="18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recognizes revenue within this segment when performance obligations under the terms of a contract with a customer are satisfied. This occurs with the transfer of control of our products at a specific point in time.</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Practical Expedients and Exemption</w:t>
      </w:r>
    </w:p>
    <w:p>
      <w:pPr>
        <w:spacing w:after="0" w:line="122" w:lineRule="exact"/>
        <w:rPr>
          <w:sz w:val="20"/>
          <w:szCs w:val="20"/>
          <w:color w:val="auto"/>
        </w:rPr>
      </w:pPr>
    </w:p>
    <w:p>
      <w:pPr>
        <w:ind w:right="80" w:firstLine="510"/>
        <w:spacing w:after="0" w:line="278" w:lineRule="auto"/>
        <w:rPr>
          <w:sz w:val="20"/>
          <w:szCs w:val="20"/>
          <w:color w:val="auto"/>
        </w:rPr>
      </w:pPr>
      <w:r>
        <w:rPr>
          <w:rFonts w:ascii="Arial" w:cs="Arial" w:eastAsia="Arial" w:hAnsi="Arial"/>
          <w:sz w:val="16"/>
          <w:szCs w:val="16"/>
          <w:color w:val="auto"/>
        </w:rPr>
        <w:t>Shipping and handling fees billed to a customer are recorded on a gross basis in "Net sales" with the corresponding shipping and handling costs included in "Cost of sales" in the concurrent period as the revenue is recorded. We expense sales commissions when incurred because the amortization period is one year or less. Sales commissions are recorded in "Selling, general, and administrative expenses".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do not disclose the value of unsatisfied performance obligations for contracts with an original expected duration of one year or less.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 w:name="page9"/>
    <w:bookmarkEnd w:id="8"/>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The following table sets forth the computation of basic and diluted income per common share for the periods presented (dollars and shares in millions,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Numerator:</w:t>
            </w:r>
          </w:p>
        </w:tc>
        <w:tc>
          <w:tcPr>
            <w:tcW w:w="15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80" w:type="dxa"/>
            <w:vAlign w:val="bottom"/>
          </w:tcPr>
          <w:p>
            <w:pPr>
              <w:ind w:left="140"/>
              <w:spacing w:after="0"/>
              <w:rPr>
                <w:sz w:val="20"/>
                <w:szCs w:val="20"/>
                <w:color w:val="auto"/>
              </w:rPr>
            </w:pPr>
            <w:r>
              <w:rPr>
                <w:rFonts w:ascii="Arial" w:cs="Arial" w:eastAsia="Arial" w:hAnsi="Arial"/>
                <w:sz w:val="16"/>
                <w:szCs w:val="16"/>
                <w:color w:val="auto"/>
              </w:rPr>
              <w:t>Less: Distributed and undistributed earnings allocated to participating</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80" w:type="dxa"/>
            <w:vAlign w:val="bottom"/>
          </w:tcPr>
          <w:p>
            <w:pPr>
              <w:ind w:left="260"/>
              <w:spacing w:after="0"/>
              <w:rPr>
                <w:sz w:val="20"/>
                <w:szCs w:val="20"/>
                <w:color w:val="auto"/>
              </w:rPr>
            </w:pPr>
            <w:r>
              <w:rPr>
                <w:rFonts w:ascii="Arial" w:cs="Arial" w:eastAsia="Arial" w:hAnsi="Arial"/>
                <w:sz w:val="16"/>
                <w:szCs w:val="16"/>
                <w:color w:val="auto"/>
              </w:rPr>
              <w:t>securities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attributable to common shareholders</w:t>
            </w:r>
          </w:p>
        </w:tc>
        <w:tc>
          <w:tcPr>
            <w:tcW w:w="1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shd w:val="clear" w:color="auto" w:fill="CFF0FC"/>
          </w:tcPr>
          <w:p>
            <w:pPr>
              <w:spacing w:after="0"/>
              <w:rPr>
                <w:sz w:val="18"/>
                <w:szCs w:val="18"/>
                <w:color w:val="auto"/>
              </w:rPr>
            </w:pP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Denominator:</w:t>
            </w:r>
          </w:p>
        </w:tc>
        <w:tc>
          <w:tcPr>
            <w:tcW w:w="15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Weighted average basic common shares outstanding</w:t>
            </w:r>
          </w:p>
        </w:tc>
        <w:tc>
          <w:tcPr>
            <w:tcW w:w="1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Effect of dilutive securities</w:t>
            </w:r>
          </w:p>
        </w:tc>
        <w:tc>
          <w:tcPr>
            <w:tcW w:w="15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diluted common shares outstanding</w:t>
            </w:r>
          </w:p>
        </w:tc>
        <w:tc>
          <w:tcPr>
            <w:tcW w:w="15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6"/>
                <w:szCs w:val="16"/>
                <w:color w:val="auto"/>
              </w:rPr>
              <w:t>Basic income per common share</w:t>
            </w:r>
          </w:p>
        </w:tc>
        <w:tc>
          <w:tcPr>
            <w:tcW w:w="1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1.75</w:t>
            </w:r>
          </w:p>
        </w:tc>
        <w:tc>
          <w:tcPr>
            <w:tcW w:w="300" w:type="dxa"/>
            <w:vAlign w:val="bottom"/>
          </w:tcPr>
          <w:p>
            <w:pPr>
              <w:spacing w:after="0"/>
              <w:rPr>
                <w:sz w:val="17"/>
                <w:szCs w:val="17"/>
                <w:color w:val="auto"/>
              </w:rPr>
            </w:pP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Diluted income per common share</w:t>
            </w: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Expense, Net</w:t>
      </w:r>
    </w:p>
    <w:p>
      <w:pPr>
        <w:spacing w:after="0" w:line="1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components of other expense, net, were as follows (dollars in millions):</w:t>
      </w:r>
    </w:p>
    <w:p>
      <w:pPr>
        <w:spacing w:after="0" w:line="303"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4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CFF0FC"/>
            </w:tcBorders>
          </w:tcPr>
          <w:p>
            <w:pPr>
              <w:spacing w:after="0"/>
              <w:rPr>
                <w:sz w:val="18"/>
                <w:szCs w:val="18"/>
                <w:color w:val="auto"/>
              </w:rPr>
            </w:pPr>
          </w:p>
        </w:tc>
        <w:tc>
          <w:tcPr>
            <w:tcW w:w="15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Asset disposals and write-offs</w:t>
            </w:r>
          </w:p>
        </w:tc>
        <w:tc>
          <w:tcPr>
            <w:tcW w:w="2260" w:type="dxa"/>
            <w:vAlign w:val="bottom"/>
            <w:gridSpan w:val="2"/>
            <w:shd w:val="clear" w:color="auto" w:fill="CFF0FC"/>
          </w:tcPr>
          <w:p>
            <w:pPr>
              <w:jc w:val="right"/>
              <w:ind w:right="587"/>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5"/>
              </w:rPr>
              <w:t>(14.7)</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color w:val="auto"/>
              </w:rPr>
              <w:t>Facilities closure and other costs (a)</w:t>
            </w: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7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Jackson mill conversion (b)</w:t>
            </w:r>
          </w:p>
        </w:tc>
        <w:tc>
          <w:tcPr>
            <w:tcW w:w="1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(0.5)</w:t>
            </w: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6"/>
                <w:szCs w:val="16"/>
                <w:color w:val="auto"/>
              </w:rPr>
              <w:t>Other</w:t>
            </w: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(3.1)</w:t>
            </w:r>
          </w:p>
        </w:tc>
        <w:tc>
          <w:tcPr>
            <w:tcW w:w="7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w:t>
            </w:r>
          </w:p>
        </w:tc>
        <w:tc>
          <w:tcPr>
            <w:tcW w:w="15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vMerge w:val="continue"/>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5"/>
              </w:rPr>
              <w:t>(20.4)</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20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charges consisting of closure costs related to corrugated products facilities.</w:t>
      </w:r>
    </w:p>
    <w:p>
      <w:pPr>
        <w:spacing w:after="0" w:line="221" w:lineRule="exact"/>
        <w:rPr>
          <w:rFonts w:ascii="Arial" w:cs="Arial" w:eastAsia="Arial" w:hAnsi="Arial"/>
          <w:sz w:val="16"/>
          <w:szCs w:val="16"/>
          <w:color w:val="auto"/>
        </w:rPr>
      </w:pPr>
    </w:p>
    <w:p>
      <w:pPr>
        <w:ind w:left="500" w:right="20" w:hanging="492"/>
        <w:spacing w:after="0" w:line="293"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charges related to the announced discontinuation of production of uncoated freesheet paper grades on the No. 3 machine at the Jackson, Alabama mill in the first quarter of 2021 associated with the permanent conversion of the machine to produce linerboard.</w:t>
      </w:r>
    </w:p>
    <w:p>
      <w:pPr>
        <w:spacing w:after="0" w:line="298"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ind w:right="40" w:firstLine="510"/>
        <w:spacing w:after="0" w:line="335" w:lineRule="auto"/>
        <w:rPr>
          <w:sz w:val="20"/>
          <w:szCs w:val="20"/>
          <w:color w:val="auto"/>
        </w:rPr>
      </w:pPr>
      <w:r>
        <w:rPr>
          <w:rFonts w:ascii="Arial" w:cs="Arial" w:eastAsia="Arial" w:hAnsi="Arial"/>
          <w:sz w:val="14"/>
          <w:szCs w:val="14"/>
          <w:color w:val="auto"/>
        </w:rPr>
        <w:t>For the three months ended March 31, 2021 and 2020, we recorded $53.1 million and $48.4 million of income tax expense and had an effective tax rate of 24.2% and 25.5%, respectively. The decrease in our effective tax rate for the three months ended March 31, 2021 compared with the same period in 2020 was primarily due to a favorable state law change during the three months ended March 31, 2021 with no corresponding favorable state law change during the three months ended March 31, 2020.</w:t>
      </w:r>
    </w:p>
    <w:p>
      <w:pPr>
        <w:spacing w:after="0" w:line="149" w:lineRule="exact"/>
        <w:rPr>
          <w:sz w:val="20"/>
          <w:szCs w:val="20"/>
          <w:color w:val="auto"/>
        </w:rPr>
      </w:pPr>
    </w:p>
    <w:p>
      <w:pPr>
        <w:ind w:right="260" w:firstLine="510"/>
        <w:spacing w:after="0" w:line="278" w:lineRule="auto"/>
        <w:rPr>
          <w:sz w:val="20"/>
          <w:szCs w:val="20"/>
          <w:color w:val="auto"/>
        </w:rPr>
      </w:pPr>
      <w:r>
        <w:rPr>
          <w:rFonts w:ascii="Arial" w:cs="Arial" w:eastAsia="Arial" w:hAnsi="Arial"/>
          <w:sz w:val="16"/>
          <w:szCs w:val="16"/>
          <w:color w:val="auto"/>
        </w:rPr>
        <w:t>Our effective tax rate may differ from the federal statutory income tax rate of 21.0% due primarily to the effect of state and local income taxes. During the three months ended March 31, 2021 and 2020, cash paid for taxes, net of refunds received, was $13.3 million and $4.7 million, respectively. The increase in cash tax payments between the periods is primarily due to higher 2021 taxable income.</w:t>
      </w:r>
    </w:p>
    <w:p>
      <w:pPr>
        <w:spacing w:after="0" w:line="184" w:lineRule="exact"/>
        <w:rPr>
          <w:sz w:val="20"/>
          <w:szCs w:val="20"/>
          <w:color w:val="auto"/>
        </w:rPr>
      </w:pPr>
    </w:p>
    <w:p>
      <w:pPr>
        <w:ind w:right="20" w:firstLine="510"/>
        <w:spacing w:after="0" w:line="328" w:lineRule="auto"/>
        <w:rPr>
          <w:sz w:val="20"/>
          <w:szCs w:val="20"/>
          <w:color w:val="auto"/>
        </w:rPr>
      </w:pPr>
      <w:r>
        <w:rPr>
          <w:rFonts w:ascii="Arial" w:cs="Arial" w:eastAsia="Arial" w:hAnsi="Arial"/>
          <w:sz w:val="15"/>
          <w:szCs w:val="15"/>
          <w:color w:val="auto"/>
        </w:rPr>
        <w:t>During the three months ended March 31, 2021, there were no significant changes to our uncertain tax positions. For more information, see Note 7, Income Taxes, of the Notes to Consolidated Financial Statements in “Part II, Item 8. Financial Statements and Supplementary Data” of our 2020 Annual Report on Form 10-K.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9" w:name="page10"/>
    <w:bookmarkEnd w:id="9"/>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value our raw materials, work in process, and finished goods inventories using lower of cost, as determined by the average cost method, or net realizable value.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Supplies and materials are valued at the first-in, first-out (FIFO) or average cost methods.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components of inventories were as follows (dollars in millions):</w:t>
      </w:r>
    </w:p>
    <w:p>
      <w:pPr>
        <w:spacing w:after="0" w:line="303"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3420" w:type="dxa"/>
            <w:vAlign w:val="bottom"/>
            <w:tcBorders>
              <w:bottom w:val="single" w:sz="8" w:color="CFF0FC"/>
            </w:tcBorders>
          </w:tcPr>
          <w:p>
            <w:pPr>
              <w:spacing w:after="0"/>
              <w:rPr>
                <w:sz w:val="17"/>
                <w:szCs w:val="17"/>
                <w:color w:val="auto"/>
              </w:rPr>
            </w:pPr>
          </w:p>
        </w:tc>
        <w:tc>
          <w:tcPr>
            <w:tcW w:w="19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7"/>
                <w:szCs w:val="17"/>
                <w:color w:val="auto"/>
              </w:rPr>
            </w:pPr>
          </w:p>
        </w:tc>
      </w:tr>
      <w:tr>
        <w:trPr>
          <w:trHeight w:val="209"/>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263.5</w:t>
            </w:r>
          </w:p>
        </w:tc>
        <w:tc>
          <w:tcPr>
            <w:tcW w:w="80" w:type="dxa"/>
            <w:vAlign w:val="bottom"/>
            <w:shd w:val="clear" w:color="auto" w:fill="CFF0FC"/>
          </w:tcPr>
          <w:p>
            <w:pPr>
              <w:spacing w:after="0"/>
              <w:rPr>
                <w:sz w:val="18"/>
                <w:szCs w:val="18"/>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6"/>
                <w:szCs w:val="16"/>
                <w:color w:val="auto"/>
              </w:rPr>
              <w:t>Work in process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r>
      <w:tr>
        <w:trPr>
          <w:trHeight w:val="219"/>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183.6</w:t>
            </w:r>
          </w:p>
        </w:tc>
        <w:tc>
          <w:tcPr>
            <w:tcW w:w="80" w:type="dxa"/>
            <w:vAlign w:val="bottom"/>
            <w:shd w:val="clear" w:color="auto" w:fill="CFF0FC"/>
          </w:tcPr>
          <w:p>
            <w:pPr>
              <w:spacing w:after="0"/>
              <w:rPr>
                <w:sz w:val="19"/>
                <w:szCs w:val="19"/>
                <w:color w:val="auto"/>
              </w:rPr>
            </w:pPr>
          </w:p>
        </w:tc>
      </w:tr>
      <w:tr>
        <w:trPr>
          <w:trHeight w:val="213"/>
        </w:trPr>
        <w:tc>
          <w:tcPr>
            <w:tcW w:w="3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Supplies and materials</w:t>
            </w:r>
          </w:p>
        </w:tc>
        <w:tc>
          <w:tcPr>
            <w:tcW w:w="19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329.2</w:t>
            </w:r>
          </w:p>
        </w:tc>
        <w:tc>
          <w:tcPr>
            <w:tcW w:w="80" w:type="dxa"/>
            <w:vAlign w:val="bottom"/>
            <w:tcBorders>
              <w:bottom w:val="single" w:sz="8" w:color="CFF0FC"/>
            </w:tcBorders>
          </w:tcPr>
          <w:p>
            <w:pPr>
              <w:spacing w:after="0"/>
              <w:rPr>
                <w:sz w:val="18"/>
                <w:szCs w:val="18"/>
                <w:color w:val="auto"/>
              </w:rPr>
            </w:pPr>
          </w:p>
        </w:tc>
      </w:tr>
      <w:tr>
        <w:trPr>
          <w:trHeight w:val="209"/>
        </w:trPr>
        <w:tc>
          <w:tcPr>
            <w:tcW w:w="3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Inventories</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787.9</w:t>
            </w:r>
          </w:p>
        </w:tc>
        <w:tc>
          <w:tcPr>
            <w:tcW w:w="80" w:type="dxa"/>
            <w:vAlign w:val="bottom"/>
            <w:shd w:val="clear" w:color="auto" w:fill="CFF0FC"/>
          </w:tcPr>
          <w:p>
            <w:pPr>
              <w:spacing w:after="0"/>
              <w:rPr>
                <w:sz w:val="18"/>
                <w:szCs w:val="18"/>
                <w:color w:val="auto"/>
              </w:rPr>
            </w:pPr>
          </w:p>
        </w:tc>
      </w:tr>
      <w:tr>
        <w:trPr>
          <w:trHeight w:val="20"/>
        </w:trPr>
        <w:tc>
          <w:tcPr>
            <w:tcW w:w="34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components of property, plant, and equipment were as follows (dollars in millions):</w:t>
      </w:r>
    </w:p>
    <w:p>
      <w:pPr>
        <w:spacing w:after="0" w:line="303"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404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7"/>
                <w:szCs w:val="17"/>
                <w:color w:val="auto"/>
              </w:rPr>
            </w:pPr>
          </w:p>
        </w:tc>
      </w:tr>
      <w:tr>
        <w:trPr>
          <w:trHeight w:val="210"/>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Land and land improvements</w:t>
            </w:r>
          </w:p>
        </w:tc>
        <w:tc>
          <w:tcPr>
            <w:tcW w:w="148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w:t>
            </w:r>
          </w:p>
        </w:tc>
        <w:tc>
          <w:tcPr>
            <w:tcW w:w="80" w:type="dxa"/>
            <w:vAlign w:val="bottom"/>
            <w:shd w:val="clear" w:color="auto" w:fill="CFF0FC"/>
          </w:tcPr>
          <w:p>
            <w:pPr>
              <w:spacing w:after="0"/>
              <w:rPr>
                <w:sz w:val="18"/>
                <w:szCs w:val="18"/>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Buildings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858.5</w:t>
            </w:r>
          </w:p>
        </w:tc>
        <w:tc>
          <w:tcPr>
            <w:tcW w:w="80" w:type="dxa"/>
            <w:vAlign w:val="bottom"/>
          </w:tcPr>
          <w:p>
            <w:pPr>
              <w:spacing w:after="0"/>
              <w:rPr>
                <w:sz w:val="18"/>
                <w:szCs w:val="18"/>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5,826.6</w:t>
            </w:r>
          </w:p>
        </w:tc>
        <w:tc>
          <w:tcPr>
            <w:tcW w:w="80" w:type="dxa"/>
            <w:vAlign w:val="bottom"/>
            <w:shd w:val="clear" w:color="auto" w:fill="CFF0FC"/>
          </w:tcPr>
          <w:p>
            <w:pPr>
              <w:spacing w:after="0"/>
              <w:rPr>
                <w:sz w:val="19"/>
                <w:szCs w:val="19"/>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360.0</w:t>
            </w:r>
          </w:p>
        </w:tc>
        <w:tc>
          <w:tcPr>
            <w:tcW w:w="80" w:type="dxa"/>
            <w:vAlign w:val="bottom"/>
          </w:tcPr>
          <w:p>
            <w:pPr>
              <w:spacing w:after="0"/>
              <w:rPr>
                <w:sz w:val="18"/>
                <w:szCs w:val="18"/>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80" w:type="dxa"/>
            <w:vAlign w:val="bottom"/>
            <w:shd w:val="clear" w:color="auto" w:fill="CFF0FC"/>
          </w:tcPr>
          <w:p>
            <w:pPr>
              <w:spacing w:after="0"/>
              <w:rPr>
                <w:sz w:val="19"/>
                <w:szCs w:val="19"/>
                <w:color w:val="auto"/>
              </w:rPr>
            </w:pPr>
          </w:p>
        </w:tc>
      </w:tr>
      <w:tr>
        <w:trPr>
          <w:trHeight w:val="207"/>
        </w:trPr>
        <w:tc>
          <w:tcPr>
            <w:tcW w:w="4040" w:type="dxa"/>
            <w:vAlign w:val="bottom"/>
          </w:tcPr>
          <w:p>
            <w:pPr>
              <w:ind w:left="240"/>
              <w:spacing w:after="0"/>
              <w:rPr>
                <w:sz w:val="20"/>
                <w:szCs w:val="20"/>
                <w:color w:val="auto"/>
              </w:rPr>
            </w:pPr>
            <w:r>
              <w:rPr>
                <w:rFonts w:ascii="Arial" w:cs="Arial" w:eastAsia="Arial" w:hAnsi="Arial"/>
                <w:sz w:val="16"/>
                <w:szCs w:val="16"/>
                <w:color w:val="auto"/>
              </w:rPr>
              <w:t>Property, plant and equipment, at cost</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7,383.1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7,313.5</w:t>
            </w:r>
          </w:p>
        </w:tc>
        <w:tc>
          <w:tcPr>
            <w:tcW w:w="80" w:type="dxa"/>
            <w:vAlign w:val="bottom"/>
          </w:tcPr>
          <w:p>
            <w:pPr>
              <w:spacing w:after="0"/>
              <w:rPr>
                <w:sz w:val="17"/>
                <w:szCs w:val="17"/>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Less accumulated depreciation</w:t>
            </w: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(4,170.6)</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(4,120.1)</w:t>
            </w:r>
          </w:p>
        </w:tc>
      </w:tr>
      <w:tr>
        <w:trPr>
          <w:trHeight w:val="207"/>
        </w:trPr>
        <w:tc>
          <w:tcPr>
            <w:tcW w:w="4040" w:type="dxa"/>
            <w:vAlign w:val="bottom"/>
          </w:tcPr>
          <w:p>
            <w:pPr>
              <w:ind w:left="240"/>
              <w:spacing w:after="0"/>
              <w:rPr>
                <w:sz w:val="20"/>
                <w:szCs w:val="20"/>
                <w:color w:val="auto"/>
              </w:rPr>
            </w:pPr>
            <w:r>
              <w:rPr>
                <w:rFonts w:ascii="Arial" w:cs="Arial" w:eastAsia="Arial" w:hAnsi="Arial"/>
                <w:sz w:val="16"/>
                <w:szCs w:val="16"/>
                <w:color w:val="auto"/>
              </w:rPr>
              <w:t>Property, plant, and equipment, net</w:t>
            </w:r>
          </w:p>
        </w:tc>
        <w:tc>
          <w:tcPr>
            <w:tcW w:w="13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3,212.5</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3,193.4</w:t>
            </w:r>
          </w:p>
        </w:tc>
        <w:tc>
          <w:tcPr>
            <w:tcW w:w="8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During the second quarter of 2020, with the exacerbated deterioration in uncoated freesheet market conditions arising from the COVID-19 pandemic and the estimated impact on our Paper segment and its projected future results of operations, we identified a triggering event indicating possible impairment of our long lived assets within our Paper segment, including property, plant, and equipment, and performed a recoverability test on the Paper reporting unit long lived assets as of May 31, 2020. The recoverability test was based on forecasts of undiscounted cash flows. The results of the recoverability test indicated that the long lived assets within our Paper segment, inclusive of property, plant, and equipment, were 100% recoverable.</w:t>
      </w:r>
    </w:p>
    <w:p>
      <w:pPr>
        <w:spacing w:after="0" w:line="190" w:lineRule="exact"/>
        <w:rPr>
          <w:sz w:val="20"/>
          <w:szCs w:val="20"/>
          <w:color w:val="auto"/>
        </w:rPr>
      </w:pPr>
    </w:p>
    <w:p>
      <w:pPr>
        <w:ind w:right="60" w:firstLine="510"/>
        <w:spacing w:after="0" w:line="278" w:lineRule="auto"/>
        <w:rPr>
          <w:sz w:val="20"/>
          <w:szCs w:val="20"/>
          <w:color w:val="auto"/>
        </w:rPr>
      </w:pPr>
      <w:r>
        <w:rPr>
          <w:rFonts w:ascii="Arial" w:cs="Arial" w:eastAsia="Arial" w:hAnsi="Arial"/>
          <w:sz w:val="16"/>
          <w:szCs w:val="16"/>
          <w:color w:val="auto"/>
        </w:rPr>
        <w:t>Depreciation expense for the three months ended March 31, 2021 and 2020 was $90.0 million and $89.8 million, respectively. We recognized $0.5 million of incremental depreciation expense during the three months ended March 31, 2021 as a result of the Jackson, Alabama mill conversion. We did not recognize any incremental depreciation expense during the three months ended March 31, 2020.</w:t>
      </w:r>
    </w:p>
    <w:p>
      <w:pPr>
        <w:spacing w:after="0" w:line="184" w:lineRule="exact"/>
        <w:rPr>
          <w:sz w:val="20"/>
          <w:szCs w:val="20"/>
          <w:color w:val="auto"/>
        </w:rPr>
      </w:pPr>
    </w:p>
    <w:p>
      <w:pPr>
        <w:ind w:right="540" w:firstLine="510"/>
        <w:spacing w:after="0" w:line="293" w:lineRule="auto"/>
        <w:rPr>
          <w:sz w:val="20"/>
          <w:szCs w:val="20"/>
          <w:color w:val="auto"/>
        </w:rPr>
      </w:pPr>
      <w:r>
        <w:rPr>
          <w:rFonts w:ascii="Arial" w:cs="Arial" w:eastAsia="Arial" w:hAnsi="Arial"/>
          <w:sz w:val="16"/>
          <w:szCs w:val="16"/>
          <w:color w:val="auto"/>
        </w:rPr>
        <w:t>At March 31, 2021 and December 31, 2020, purchases of property, plant, and equipment included in accounts payable were $47.8 million and $20.4 million, respectively.</w:t>
      </w:r>
    </w:p>
    <w:p>
      <w:pPr>
        <w:spacing w:after="0" w:line="27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6" w:lineRule="exact"/>
        <w:rPr>
          <w:sz w:val="20"/>
          <w:szCs w:val="20"/>
          <w:color w:val="auto"/>
        </w:rPr>
      </w:pPr>
    </w:p>
    <w:p>
      <w:pPr>
        <w:ind w:right="280" w:firstLine="510"/>
        <w:spacing w:after="0" w:line="278" w:lineRule="auto"/>
        <w:rPr>
          <w:sz w:val="20"/>
          <w:szCs w:val="20"/>
          <w:color w:val="auto"/>
        </w:rPr>
      </w:pPr>
      <w:r>
        <w:rPr>
          <w:rFonts w:ascii="Arial" w:cs="Arial" w:eastAsia="Arial" w:hAnsi="Arial"/>
          <w:sz w:val="16"/>
          <w:szCs w:val="16"/>
          <w:color w:val="auto"/>
        </w:rPr>
        <w:t>During the second quarter of 2020, with the exacerbated deterioration in uncoated freesheet market conditions arising from the COVID-19 pandemic and the estimated impact on our Paper segment and its projected future results of operations, we identified a triggering event indicating possible impairment of goodwill and our long lived assets within our Paper reporting unit.</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149"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Due to the triggering event identified above an interim quantitative impairment analysis was performed as of May 31, 2020 for the Paper reporting unit, which is the same as our Paper reportable segment. We estimated the fair value of the Paper reporting unit using a combination of the income approach and the market approach, as further described below. Based on the evaluation performed, we determined that the carrying value of the Paper reporting unit exceeded its fair value, which resulted in a goodwill impairment charge totaling $55.2 million in the second quarter of 2020.</w:t>
      </w:r>
    </w:p>
    <w:p>
      <w:pPr>
        <w:spacing w:after="0" w:line="189"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For purposes of our goodwill impairment analysis, we estimated the fair value of the Paper reporting unit using a combination of the income approach and the market approach applying an equal weighting. The income approach incorporated the estimated future cash flows and a terminal value discounted to their present value using an appropriate risk-adjusted discount rate. The estimated future cash flows and terminal value were based on internal forecasts and industry trends, including the long-term outlook for the paper industry. Our expected cash flows include assumptions about industry pricing, expected paper demand, and anticipated input and conversion costs. The discount rate utilized in the income approach was 9%, which was derived using a capital asset pricing model based on relevant industry data to estimate the cost of equity financing. The discount rate is commensurate with the risks and uncertainties inherent in the business and the cash flow forecasts, updated for recent events. The market approach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estimated the fair value of the Paper reporting unit by using valuation metrics of publicly traded companies or historically completed transactions of comparable businesses.</w:t>
      </w:r>
    </w:p>
    <w:p>
      <w:pPr>
        <w:spacing w:after="0" w:line="258" w:lineRule="exact"/>
        <w:rPr>
          <w:sz w:val="20"/>
          <w:szCs w:val="20"/>
          <w:color w:val="auto"/>
        </w:rPr>
      </w:pPr>
    </w:p>
    <w:p>
      <w:pPr>
        <w:ind w:right="120" w:firstLine="510"/>
        <w:spacing w:after="0" w:line="293" w:lineRule="auto"/>
        <w:rPr>
          <w:sz w:val="20"/>
          <w:szCs w:val="20"/>
          <w:color w:val="auto"/>
        </w:rPr>
      </w:pPr>
      <w:r>
        <w:rPr>
          <w:rFonts w:ascii="Arial" w:cs="Arial" w:eastAsia="Arial" w:hAnsi="Arial"/>
          <w:sz w:val="15"/>
          <w:szCs w:val="15"/>
          <w:color w:val="auto"/>
        </w:rPr>
        <w:t>The valuation of our Paper reporting unit requires significant judgment in evaluating recent indicators of market activity and estimated future cash flows, discount rates, and other factors. Our impairment analysis contains inherent uncertainties due to uncontrollable events that could positively or negatively impact anticipated future economic and operating conditions. In making these estimates, the weighted-average cost of capital is utilized to calculate the present value of future cash flows and terminal value. Many variables go into estimating future cash flows, including estimates of our future revenue growth and operating results. When estimating our projected revenue growth and future operating results, we considered industry trends, economic data, and our competitive situation.</w:t>
      </w:r>
    </w:p>
    <w:p>
      <w:pPr>
        <w:spacing w:after="0" w:line="176"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Goodwill represents the excess of the cost of an acquired business over the fair value of the identifiable tangible and intangible assets acquired and liabilities assumed in a business combination. At both March 31, 2021 and December 31, 2020, we had $863.5 million of goodwill recorded in our Packaging segment, which represents the entire goodwill balance reported on our Consolidated Balance Sheets.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2" w:lineRule="exact"/>
        <w:rPr>
          <w:sz w:val="20"/>
          <w:szCs w:val="20"/>
          <w:color w:val="auto"/>
        </w:rPr>
      </w:pPr>
    </w:p>
    <w:p>
      <w:pPr>
        <w:ind w:right="80" w:firstLine="510"/>
        <w:spacing w:after="0" w:line="273" w:lineRule="auto"/>
        <w:rPr>
          <w:sz w:val="20"/>
          <w:szCs w:val="20"/>
          <w:color w:val="auto"/>
        </w:rPr>
      </w:pPr>
      <w:r>
        <w:rPr>
          <w:rFonts w:ascii="Arial" w:cs="Arial" w:eastAsia="Arial" w:hAnsi="Arial"/>
          <w:sz w:val="16"/>
          <w:szCs w:val="16"/>
          <w:color w:val="auto"/>
        </w:rPr>
        <w:t>Intangible assets are primarily comprised of customer relationships and trademarks and trade names. As a result of the triggering event described above, we also performed a recoverability test on our long-lived assets within the Paper segment, including long lived intangible assets, as of May 31, 2020. The recoverability test was based on forecasts of undiscounted cash flows. The results of the recoverability test indicated that the long lived assets within our Paper segment, inclusive of the long lived intangible assets, were 100% recoverable.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weighted average remaining useful life, gross carrying amount, and accumulated amortization of our intangible assets were as follows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March 31, 2021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02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Useful Life</w:t>
            </w:r>
          </w:p>
        </w:tc>
        <w:tc>
          <w:tcPr>
            <w:tcW w:w="10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(in Years)</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9.3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503.8</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tcPr>
          <w:p>
            <w:pPr>
              <w:spacing w:after="0"/>
              <w:rPr>
                <w:sz w:val="20"/>
                <w:szCs w:val="20"/>
                <w:color w:val="auto"/>
              </w:rPr>
            </w:pPr>
            <w:r>
              <w:rPr>
                <w:rFonts w:ascii="Arial" w:cs="Arial" w:eastAsia="Arial" w:hAnsi="Arial"/>
                <w:sz w:val="16"/>
                <w:szCs w:val="16"/>
                <w:color w:val="auto"/>
              </w:rPr>
              <w:t>Trademarks and trade names</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6"/>
                <w:szCs w:val="16"/>
                <w:color w:val="auto"/>
              </w:rPr>
              <w:t>Total intangible assets (excluding goodwill)</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9.3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542.9</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237.5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542.9</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both the three months ended March 31, 2021 and 2020, amortization expense was $9.6 million.</w:t>
      </w:r>
    </w:p>
    <w:p>
      <w:pPr>
        <w:spacing w:after="0" w:line="14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3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components of accrued liabilities were as follows (dollars in millions):</w:t>
      </w:r>
    </w:p>
    <w:p>
      <w:pPr>
        <w:spacing w:after="0" w:line="303"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53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7"/>
                <w:szCs w:val="17"/>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80" w:type="dxa"/>
            <w:vAlign w:val="bottom"/>
            <w:shd w:val="clear" w:color="auto" w:fill="CFF0FC"/>
          </w:tcPr>
          <w:p>
            <w:pPr>
              <w:spacing w:after="0"/>
              <w:rPr>
                <w:sz w:val="18"/>
                <w:szCs w:val="18"/>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Medical insurance and workers’ compensation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18"/>
                <w:szCs w:val="18"/>
                <w:color w:val="auto"/>
              </w:rPr>
            </w:pP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Customer rebates and other credits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FF0FC"/>
          </w:tcPr>
          <w:p>
            <w:pPr>
              <w:spacing w:after="0"/>
              <w:rPr>
                <w:sz w:val="19"/>
                <w:szCs w:val="19"/>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Franchise, property, sales and use taxes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Environmental liabilities and asset retirement obligations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FF0FC"/>
          </w:tcPr>
          <w:p>
            <w:pPr>
              <w:spacing w:after="0"/>
              <w:rPr>
                <w:sz w:val="19"/>
                <w:szCs w:val="19"/>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Severance, retention, and relocation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FF0FC"/>
          </w:tcPr>
          <w:p>
            <w:pPr>
              <w:spacing w:after="0"/>
              <w:rPr>
                <w:sz w:val="19"/>
                <w:szCs w:val="19"/>
                <w:color w:val="auto"/>
              </w:rPr>
            </w:pPr>
          </w:p>
        </w:tc>
      </w:tr>
      <w:tr>
        <w:trPr>
          <w:trHeight w:val="207"/>
        </w:trPr>
        <w:tc>
          <w:tcPr>
            <w:tcW w:w="5380" w:type="dxa"/>
            <w:vAlign w:val="bottom"/>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w:t>
            </w:r>
          </w:p>
        </w:tc>
        <w:tc>
          <w:tcPr>
            <w:tcW w:w="8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5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For the three months ended March 31, 2021 and 2020, cash payments for interest were $7.5 million and $7.3 million, respectively.</w:t>
      </w:r>
    </w:p>
    <w:p>
      <w:pPr>
        <w:spacing w:after="0" w:line="235"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Included in interest expense, net is the amortization of financing costs. For both the three months ended March 31, 2021 and 2020, amortization of financing costs was $0.5 million.</w:t>
      </w:r>
    </w:p>
    <w:p>
      <w:pPr>
        <w:spacing w:after="0" w:line="172" w:lineRule="exact"/>
        <w:rPr>
          <w:sz w:val="20"/>
          <w:szCs w:val="20"/>
          <w:color w:val="auto"/>
        </w:rPr>
      </w:pPr>
    </w:p>
    <w:p>
      <w:pPr>
        <w:ind w:right="100" w:firstLine="510"/>
        <w:spacing w:after="0" w:line="271" w:lineRule="auto"/>
        <w:rPr>
          <w:sz w:val="20"/>
          <w:szCs w:val="20"/>
          <w:color w:val="auto"/>
        </w:rPr>
      </w:pPr>
      <w:r>
        <w:rPr>
          <w:rFonts w:ascii="Arial" w:cs="Arial" w:eastAsia="Arial" w:hAnsi="Arial"/>
          <w:sz w:val="16"/>
          <w:szCs w:val="16"/>
          <w:color w:val="auto"/>
        </w:rPr>
        <w:t>At March 31, 2021, we had $2,493.8 million of fixed-rate senior notes outstanding. The fair value of our fixed-rate debt was estimated to be $2,719.0 million. The difference between the book value and fair value is due to the difference between the period-end market interest rate and the stated rate of our fixed-rate debt. We estimated the fair value of our fixed-rate debt using quoted market prices (Level 2 inputs) within the fair value hierarchy, which is further defined in Note 2, Summary of Significant Accounting Policies, of the Notes to Consolidated Financial Statements in "Part II, Item 8. Financial Statements and Supplementary Data" of our 2020 Annual Report on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4"/>
          <w:szCs w:val="14"/>
          <w:color w:val="auto"/>
        </w:rPr>
        <w:t>For more information on our long-term debt and interest rates on that debt, see Note 10, Debt, of the Notes to Consolidated Financial Statements in "Part II, Item 8.</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Supplementary Data" of our 2020 Annual Report on Form 10-K.</w:t>
      </w:r>
    </w:p>
    <w:p>
      <w:pPr>
        <w:spacing w:after="0" w:line="371"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Marketable Debt Securities</w:t>
      </w:r>
    </w:p>
    <w:p>
      <w:pPr>
        <w:spacing w:after="0" w:line="234" w:lineRule="exact"/>
        <w:rPr>
          <w:sz w:val="20"/>
          <w:szCs w:val="20"/>
          <w:color w:val="auto"/>
        </w:rPr>
      </w:pPr>
    </w:p>
    <w:p>
      <w:pPr>
        <w:ind w:right="180" w:firstLine="510"/>
        <w:spacing w:after="0" w:line="279" w:lineRule="auto"/>
        <w:rPr>
          <w:sz w:val="20"/>
          <w:szCs w:val="20"/>
          <w:color w:val="auto"/>
        </w:rPr>
      </w:pPr>
      <w:r>
        <w:rPr>
          <w:rFonts w:ascii="Arial" w:cs="Arial" w:eastAsia="Arial" w:hAnsi="Arial"/>
          <w:sz w:val="16"/>
          <w:szCs w:val="16"/>
          <w:color w:val="auto"/>
        </w:rPr>
        <w:t>The following table shows the Company’s cash and available-for-sale (AFS) debt securities by major asset category at March 31, 2021 and December 31, 2020 (in millions):</w:t>
      </w:r>
    </w:p>
    <w:tbl>
      <w:tblPr>
        <w:tblLayout w:type="fixed"/>
        <w:tblInd w:w="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93"/>
              </w:rPr>
              <w:t>March 31, 2021</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Adjusted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60"/>
              <w:spacing w:after="0" w:line="136" w:lineRule="exact"/>
              <w:rPr>
                <w:sz w:val="20"/>
                <w:szCs w:val="20"/>
                <w:color w:val="auto"/>
              </w:rPr>
            </w:pPr>
            <w:r>
              <w:rPr>
                <w:rFonts w:ascii="Arial" w:cs="Arial" w:eastAsia="Arial" w:hAnsi="Arial"/>
                <w:sz w:val="14"/>
                <w:szCs w:val="14"/>
                <w:b w:val="1"/>
                <w:bCs w:val="1"/>
                <w:color w:val="auto"/>
                <w:w w:val="91"/>
              </w:rPr>
              <w:t>Cash and</w:t>
            </w:r>
          </w:p>
        </w:tc>
        <w:tc>
          <w:tcPr>
            <w:tcW w:w="100" w:type="dxa"/>
            <w:vAlign w:val="bottom"/>
          </w:tcPr>
          <w:p>
            <w:pPr>
              <w:spacing w:after="0"/>
              <w:rPr>
                <w:sz w:val="11"/>
                <w:szCs w:val="11"/>
                <w:color w:val="auto"/>
              </w:rPr>
            </w:pPr>
          </w:p>
        </w:tc>
        <w:tc>
          <w:tcPr>
            <w:tcW w:w="112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1"/>
                <w:szCs w:val="11"/>
                <w:color w:val="auto"/>
              </w:rPr>
            </w:pPr>
          </w:p>
        </w:tc>
        <w:tc>
          <w:tcPr>
            <w:tcW w:w="880" w:type="dxa"/>
            <w:vAlign w:val="bottom"/>
          </w:tcPr>
          <w:p>
            <w:pPr>
              <w:jc w:val="center"/>
              <w:ind w:right="61"/>
              <w:spacing w:after="0" w:line="136" w:lineRule="exact"/>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Marketable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8"/>
              </w:rPr>
              <w:t>Cost Basis</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Gain</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Loss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Debt Securities</w:t>
            </w: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Debt Securities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ind w:left="620"/>
              <w:spacing w:after="0"/>
              <w:rPr>
                <w:sz w:val="20"/>
                <w:szCs w:val="20"/>
                <w:color w:val="auto"/>
              </w:rPr>
            </w:pPr>
            <w:r>
              <w:rPr>
                <w:rFonts w:ascii="Arial" w:cs="Arial" w:eastAsia="Arial" w:hAnsi="Arial"/>
                <w:sz w:val="16"/>
                <w:szCs w:val="16"/>
                <w:color w:val="auto"/>
                <w:w w:val="87"/>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980.4</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Arial" w:cs="Arial" w:eastAsia="Arial" w:hAnsi="Arial"/>
                <w:sz w:val="15"/>
                <w:szCs w:val="15"/>
                <w:color w:val="auto"/>
              </w:rPr>
              <w:t xml:space="preserve">Level 1 </w:t>
            </w:r>
            <w:r>
              <w:rPr>
                <w:rFonts w:ascii="Arial" w:cs="Arial" w:eastAsia="Arial" w:hAnsi="Arial"/>
                <w:sz w:val="25"/>
                <w:szCs w:val="25"/>
                <w:color w:val="auto"/>
                <w:vertAlign w:val="superscript"/>
              </w:rPr>
              <w:t>(a)</w:t>
            </w: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Money market funds</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U.S. Treasury securities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Borders>
              <w:top w:val="single" w:sz="8" w:color="CFF0FC"/>
            </w:tcBorders>
            <w:shd w:val="clear" w:color="auto" w:fill="CFF0FC"/>
          </w:tcPr>
          <w:p>
            <w:pPr>
              <w:jc w:val="center"/>
              <w:ind w:right="1700"/>
              <w:spacing w:after="0"/>
              <w:rPr>
                <w:sz w:val="20"/>
                <w:szCs w:val="20"/>
                <w:color w:val="auto"/>
              </w:rPr>
            </w:pPr>
            <w:r>
              <w:rPr>
                <w:rFonts w:ascii="Arial" w:cs="Arial" w:eastAsia="Arial" w:hAnsi="Arial"/>
                <w:sz w:val="16"/>
                <w:szCs w:val="16"/>
                <w:color w:val="auto"/>
                <w:w w:val="91"/>
              </w:rPr>
              <w:t>Subtotal</w:t>
            </w:r>
          </w:p>
        </w:tc>
        <w:tc>
          <w:tcPr>
            <w:tcW w:w="4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line="210" w:lineRule="exact"/>
              <w:rPr>
                <w:sz w:val="20"/>
                <w:szCs w:val="20"/>
                <w:color w:val="auto"/>
              </w:rPr>
            </w:pPr>
            <w:r>
              <w:rPr>
                <w:rFonts w:ascii="Arial" w:cs="Arial" w:eastAsia="Arial" w:hAnsi="Arial"/>
                <w:sz w:val="15"/>
                <w:szCs w:val="15"/>
                <w:color w:val="auto"/>
              </w:rPr>
              <w:t xml:space="preserve">Level 2 </w:t>
            </w:r>
            <w:r>
              <w:rPr>
                <w:rFonts w:ascii="Arial" w:cs="Arial" w:eastAsia="Arial" w:hAnsi="Arial"/>
                <w:sz w:val="24"/>
                <w:szCs w:val="24"/>
                <w:color w:val="auto"/>
                <w:vertAlign w:val="superscript"/>
              </w:rPr>
              <w:t>(b)</w:t>
            </w: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Certificates of deposit</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U.S. government agency securities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6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40" w:type="dxa"/>
            <w:vAlign w:val="bottom"/>
            <w:tcBorders>
              <w:top w:val="single" w:sz="8" w:color="CFF0FC"/>
            </w:tcBorders>
            <w:shd w:val="clear" w:color="auto" w:fill="CFF0FC"/>
          </w:tcPr>
          <w:p>
            <w:pPr>
              <w:jc w:val="center"/>
              <w:ind w:right="1700"/>
              <w:spacing w:after="0"/>
              <w:rPr>
                <w:sz w:val="20"/>
                <w:szCs w:val="20"/>
                <w:color w:val="auto"/>
              </w:rPr>
            </w:pPr>
            <w:r>
              <w:rPr>
                <w:rFonts w:ascii="Arial" w:cs="Arial" w:eastAsia="Arial" w:hAnsi="Arial"/>
                <w:sz w:val="16"/>
                <w:szCs w:val="16"/>
                <w:color w:val="auto"/>
                <w:w w:val="91"/>
              </w:rPr>
              <w:t>Subtotal</w:t>
            </w:r>
          </w:p>
        </w:tc>
        <w:tc>
          <w:tcPr>
            <w:tcW w:w="4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121.5</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tcPr>
          <w:p>
            <w:pPr>
              <w:jc w:val="center"/>
              <w:ind w:right="1680"/>
              <w:spacing w:after="0"/>
              <w:rPr>
                <w:sz w:val="20"/>
                <w:szCs w:val="20"/>
                <w:color w:val="auto"/>
              </w:rPr>
            </w:pPr>
            <w:r>
              <w:rPr>
                <w:rFonts w:ascii="Arial" w:cs="Arial" w:eastAsia="Arial" w:hAnsi="Arial"/>
                <w:sz w:val="16"/>
                <w:szCs w:val="16"/>
                <w:color w:val="auto"/>
                <w:w w:val="89"/>
              </w:rPr>
              <w:t>Total</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1,132.6</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1,132.9</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983.4</w:t>
            </w:r>
          </w:p>
        </w:tc>
        <w:tc>
          <w:tcPr>
            <w:tcW w:w="2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ind w:left="18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Adjusted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60"/>
              <w:spacing w:after="0" w:line="136" w:lineRule="exact"/>
              <w:rPr>
                <w:sz w:val="20"/>
                <w:szCs w:val="20"/>
                <w:color w:val="auto"/>
              </w:rPr>
            </w:pPr>
            <w:r>
              <w:rPr>
                <w:rFonts w:ascii="Arial" w:cs="Arial" w:eastAsia="Arial" w:hAnsi="Arial"/>
                <w:sz w:val="14"/>
                <w:szCs w:val="14"/>
                <w:b w:val="1"/>
                <w:bCs w:val="1"/>
                <w:color w:val="auto"/>
                <w:w w:val="91"/>
              </w:rPr>
              <w:t>Cash and</w:t>
            </w:r>
          </w:p>
        </w:tc>
        <w:tc>
          <w:tcPr>
            <w:tcW w:w="100" w:type="dxa"/>
            <w:vAlign w:val="bottom"/>
          </w:tcPr>
          <w:p>
            <w:pPr>
              <w:spacing w:after="0"/>
              <w:rPr>
                <w:sz w:val="11"/>
                <w:szCs w:val="11"/>
                <w:color w:val="auto"/>
              </w:rPr>
            </w:pPr>
          </w:p>
        </w:tc>
        <w:tc>
          <w:tcPr>
            <w:tcW w:w="112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1"/>
                <w:szCs w:val="11"/>
                <w:color w:val="auto"/>
              </w:rPr>
            </w:pPr>
          </w:p>
        </w:tc>
        <w:tc>
          <w:tcPr>
            <w:tcW w:w="880" w:type="dxa"/>
            <w:vAlign w:val="bottom"/>
          </w:tcPr>
          <w:p>
            <w:pPr>
              <w:jc w:val="center"/>
              <w:ind w:right="61"/>
              <w:spacing w:after="0" w:line="136" w:lineRule="exact"/>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Marketable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8"/>
              </w:rPr>
              <w:t>Cost Basis</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Gain</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Debt Securities</w:t>
            </w:r>
          </w:p>
        </w:tc>
        <w:tc>
          <w:tcPr>
            <w:tcW w:w="2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Debt Securities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970.5</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Arial" w:cs="Arial" w:eastAsia="Arial" w:hAnsi="Arial"/>
                <w:sz w:val="15"/>
                <w:szCs w:val="15"/>
                <w:color w:val="auto"/>
              </w:rPr>
              <w:t xml:space="preserve">Level 1 </w:t>
            </w:r>
            <w:r>
              <w:rPr>
                <w:rFonts w:ascii="Arial" w:cs="Arial" w:eastAsia="Arial" w:hAnsi="Arial"/>
                <w:sz w:val="25"/>
                <w:szCs w:val="25"/>
                <w:color w:val="auto"/>
                <w:vertAlign w:val="superscript"/>
              </w:rPr>
              <w:t>(a)</w:t>
            </w: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Money market funds</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U.S. Treasury securities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Borders>
              <w:top w:val="single" w:sz="8" w:color="CFF0FC"/>
            </w:tcBorders>
            <w:shd w:val="clear" w:color="auto" w:fill="CFF0FC"/>
          </w:tcPr>
          <w:p>
            <w:pPr>
              <w:jc w:val="center"/>
              <w:ind w:right="1700"/>
              <w:spacing w:after="0"/>
              <w:rPr>
                <w:sz w:val="20"/>
                <w:szCs w:val="20"/>
                <w:color w:val="auto"/>
              </w:rPr>
            </w:pPr>
            <w:r>
              <w:rPr>
                <w:rFonts w:ascii="Arial" w:cs="Arial" w:eastAsia="Arial" w:hAnsi="Arial"/>
                <w:sz w:val="16"/>
                <w:szCs w:val="16"/>
                <w:color w:val="auto"/>
                <w:w w:val="91"/>
              </w:rPr>
              <w:t>Subtotal</w:t>
            </w:r>
          </w:p>
        </w:tc>
        <w:tc>
          <w:tcPr>
            <w:tcW w:w="4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line="210" w:lineRule="exact"/>
              <w:rPr>
                <w:sz w:val="20"/>
                <w:szCs w:val="20"/>
                <w:color w:val="auto"/>
              </w:rPr>
            </w:pPr>
            <w:r>
              <w:rPr>
                <w:rFonts w:ascii="Arial" w:cs="Arial" w:eastAsia="Arial" w:hAnsi="Arial"/>
                <w:sz w:val="15"/>
                <w:szCs w:val="15"/>
                <w:color w:val="auto"/>
              </w:rPr>
              <w:t xml:space="preserve">Level 2 </w:t>
            </w:r>
            <w:r>
              <w:rPr>
                <w:rFonts w:ascii="Arial" w:cs="Arial" w:eastAsia="Arial" w:hAnsi="Arial"/>
                <w:sz w:val="24"/>
                <w:szCs w:val="24"/>
                <w:color w:val="auto"/>
                <w:vertAlign w:val="superscript"/>
              </w:rPr>
              <w:t>(b)</w:t>
            </w: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Certificates of deposit</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4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U.S. government agency securities</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Corporate debt securities</w:t>
            </w:r>
          </w:p>
        </w:tc>
        <w:tc>
          <w:tcPr>
            <w:tcW w:w="4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shd w:val="clear" w:color="auto" w:fill="CFF0FC"/>
          </w:tcPr>
          <w:p>
            <w:pPr>
              <w:jc w:val="center"/>
              <w:ind w:right="1700"/>
              <w:spacing w:after="0"/>
              <w:rPr>
                <w:sz w:val="20"/>
                <w:szCs w:val="20"/>
                <w:color w:val="auto"/>
              </w:rPr>
            </w:pPr>
            <w:r>
              <w:rPr>
                <w:rFonts w:ascii="Arial" w:cs="Arial" w:eastAsia="Arial" w:hAnsi="Arial"/>
                <w:sz w:val="16"/>
                <w:szCs w:val="16"/>
                <w:color w:val="auto"/>
                <w:w w:val="91"/>
              </w:rPr>
              <w:t>Subtotal</w:t>
            </w:r>
          </w:p>
        </w:tc>
        <w:tc>
          <w:tcPr>
            <w:tcW w:w="4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123.2</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123.5</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40" w:type="dxa"/>
            <w:vAlign w:val="bottom"/>
          </w:tcPr>
          <w:p>
            <w:pPr>
              <w:jc w:val="center"/>
              <w:ind w:right="1680"/>
              <w:spacing w:after="0"/>
              <w:rPr>
                <w:sz w:val="20"/>
                <w:szCs w:val="20"/>
                <w:color w:val="auto"/>
              </w:rPr>
            </w:pPr>
            <w:r>
              <w:rPr>
                <w:rFonts w:ascii="Arial" w:cs="Arial" w:eastAsia="Arial" w:hAnsi="Arial"/>
                <w:sz w:val="16"/>
                <w:szCs w:val="16"/>
                <w:color w:val="auto"/>
                <w:w w:val="89"/>
              </w:rPr>
              <w:t>Total</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1,122.4</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1,122.9</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974.6</w:t>
            </w:r>
          </w:p>
        </w:tc>
        <w:tc>
          <w:tcPr>
            <w:tcW w:w="2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105.6</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Valuations based on quoted prices for identical assets or liabilities in active markets.</w:t>
      </w:r>
    </w:p>
    <w:p>
      <w:pPr>
        <w:ind w:left="740" w:right="20" w:hanging="368"/>
        <w:spacing w:after="0" w:line="237"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92" w:lineRule="exact"/>
        <w:rPr>
          <w:sz w:val="20"/>
          <w:szCs w:val="20"/>
          <w:color w:val="auto"/>
        </w:rPr>
      </w:pPr>
    </w:p>
    <w:p>
      <w:pPr>
        <w:ind w:right="960" w:firstLine="374"/>
        <w:spacing w:after="0" w:line="293" w:lineRule="auto"/>
        <w:rPr>
          <w:sz w:val="20"/>
          <w:szCs w:val="20"/>
          <w:color w:val="auto"/>
        </w:rPr>
      </w:pPr>
      <w:r>
        <w:rPr>
          <w:rFonts w:ascii="Arial" w:cs="Arial" w:eastAsia="Arial" w:hAnsi="Arial"/>
          <w:sz w:val="16"/>
          <w:szCs w:val="16"/>
          <w:color w:val="auto"/>
        </w:rPr>
        <w:t>For the three months ended March 31, 2021 and 2020, net realized gains and losses on the sales and maturities of certain marketable debt securities were insignificant.</w:t>
      </w:r>
    </w:p>
    <w:p>
      <w:pPr>
        <w:spacing w:after="0" w:line="172" w:lineRule="exact"/>
        <w:rPr>
          <w:sz w:val="20"/>
          <w:szCs w:val="20"/>
          <w:color w:val="auto"/>
        </w:rPr>
      </w:pPr>
    </w:p>
    <w:p>
      <w:pPr>
        <w:ind w:right="140" w:firstLine="374"/>
        <w:spacing w:after="0" w:line="278" w:lineRule="auto"/>
        <w:rPr>
          <w:sz w:val="20"/>
          <w:szCs w:val="20"/>
          <w:color w:val="auto"/>
        </w:rPr>
      </w:pPr>
      <w:r>
        <w:rPr>
          <w:rFonts w:ascii="Arial" w:cs="Arial" w:eastAsia="Arial" w:hAnsi="Arial"/>
          <w:sz w:val="16"/>
          <w:szCs w:val="16"/>
          <w:color w:val="auto"/>
        </w:rPr>
        <w:t>The Company invests in highly rated securities, with the primary objective of minimizing the potential risk of principal loss. The Company’s investment policy requires securities to be investment grade and limits the amount of credit exposure to any one issuer. The maturities of the Company’s long-term marketable debt securities generally range from one to two years.</w:t>
      </w:r>
    </w:p>
    <w:p>
      <w:pPr>
        <w:spacing w:after="0" w:line="184" w:lineRule="exact"/>
        <w:rPr>
          <w:sz w:val="20"/>
          <w:szCs w:val="20"/>
          <w:color w:val="auto"/>
        </w:rPr>
      </w:pPr>
    </w:p>
    <w:p>
      <w:pPr>
        <w:ind w:right="20" w:firstLine="374"/>
        <w:spacing w:after="0" w:line="273" w:lineRule="auto"/>
        <w:rPr>
          <w:sz w:val="20"/>
          <w:szCs w:val="20"/>
          <w:color w:val="auto"/>
        </w:rPr>
      </w:pPr>
      <w:r>
        <w:rPr>
          <w:rFonts w:ascii="Arial" w:cs="Arial" w:eastAsia="Arial" w:hAnsi="Arial"/>
          <w:sz w:val="16"/>
          <w:szCs w:val="16"/>
          <w:color w:val="auto"/>
        </w:rPr>
        <w:t>Fair values were determined for each individual marketable debt security in the investment portfolio. When evaluating a marketable debt security for impairment, PCA reviews factors such as the duration and extent to which the fair value of the marketable debt security is less than its cost, the financial condition of the issuer and any changes thereto, the general market condition in which the issuer operates, and PCA’s intent to sell, or whether it will be more likely than not be required to sell, the marketable debt security before recovery of its amortized cost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 w:name="page13"/>
    <w:bookmarkEnd w:id="12"/>
    <w:p>
      <w:pPr>
        <w:ind w:right="300" w:firstLine="374"/>
        <w:spacing w:after="0" w:line="278" w:lineRule="auto"/>
        <w:rPr>
          <w:sz w:val="20"/>
          <w:szCs w:val="20"/>
          <w:color w:val="auto"/>
        </w:rPr>
      </w:pPr>
      <w:r>
        <w:rPr>
          <w:rFonts w:ascii="Arial" w:cs="Arial" w:eastAsia="Arial" w:hAnsi="Arial"/>
          <w:sz w:val="16"/>
          <w:szCs w:val="16"/>
          <w:color w:val="auto"/>
        </w:rPr>
        <w:t>As of March 31, 2021 and December 31, 2020, we do not consider any of the impairments related to our marketable debt securities to be the result of credit losses. Therefore, we have not recorded an allowance for credit losses related to our marketable debt securities. All unrealized gains and losses were recorded in other comprehensive income (OCI).</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provides information about the Company’s marketable debt securities that have been in a continuous loss position as of March 31, 2021 and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(in millions, except number of marketable debt securities in a loss position):</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46"/>
              <w:spacing w:after="0"/>
              <w:rPr>
                <w:sz w:val="20"/>
                <w:szCs w:val="20"/>
                <w:color w:val="auto"/>
              </w:rPr>
            </w:pPr>
            <w:r>
              <w:rPr>
                <w:rFonts w:ascii="Arial" w:cs="Arial" w:eastAsia="Arial" w:hAnsi="Arial"/>
                <w:sz w:val="14"/>
                <w:szCs w:val="14"/>
                <w:b w:val="1"/>
                <w:bCs w:val="1"/>
                <w:color w:val="auto"/>
              </w:rPr>
              <w:t>March 31, 2021</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5"/>
              </w:rPr>
              <w:t>Fair Value of</w:t>
            </w:r>
          </w:p>
        </w:tc>
        <w:tc>
          <w:tcPr>
            <w:tcW w:w="28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5"/>
              </w:rPr>
              <w:t>Fair Value of</w:t>
            </w:r>
          </w:p>
        </w:tc>
        <w:tc>
          <w:tcPr>
            <w:tcW w:w="36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Marketable</w:t>
            </w:r>
          </w:p>
        </w:tc>
        <w:tc>
          <w:tcPr>
            <w:tcW w:w="3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8"/>
              </w:rPr>
              <w:t>Marketable</w:t>
            </w:r>
          </w:p>
        </w:tc>
        <w:tc>
          <w:tcPr>
            <w:tcW w:w="2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Debt Securities</w:t>
            </w:r>
          </w:p>
        </w:tc>
        <w:tc>
          <w:tcPr>
            <w:tcW w:w="3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8"/>
              </w:rPr>
              <w:t>Marketable</w:t>
            </w:r>
          </w:p>
        </w:tc>
        <w:tc>
          <w:tcPr>
            <w:tcW w:w="36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Debt Securities</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Debt Securities</w:t>
            </w:r>
          </w:p>
        </w:tc>
        <w:tc>
          <w:tcPr>
            <w:tcW w:w="2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a Loss Position</w:t>
            </w:r>
          </w:p>
        </w:tc>
        <w:tc>
          <w:tcPr>
            <w:tcW w:w="3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Losses (c)</w:t>
            </w:r>
          </w:p>
        </w:tc>
        <w:tc>
          <w:tcPr>
            <w:tcW w:w="4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Debt Securities</w:t>
            </w:r>
          </w:p>
        </w:tc>
        <w:tc>
          <w:tcPr>
            <w:tcW w:w="3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 a Loss Position</w:t>
            </w:r>
          </w:p>
        </w:tc>
        <w:tc>
          <w:tcPr>
            <w:tcW w:w="3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Losses (c)</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Corporate debt securities</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62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6"/>
                <w:szCs w:val="16"/>
                <w:color w:val="auto"/>
              </w:rPr>
              <w:t>U.S. Treasury securities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Certificates of deposit</w:t>
            </w:r>
          </w:p>
        </w:tc>
        <w:tc>
          <w:tcPr>
            <w:tcW w:w="5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820" w:type="dxa"/>
            <w:vAlign w:val="bottom"/>
          </w:tcPr>
          <w:p>
            <w:pPr>
              <w:spacing w:after="0"/>
              <w:rPr>
                <w:sz w:val="20"/>
                <w:szCs w:val="20"/>
                <w:color w:val="auto"/>
              </w:rPr>
            </w:pPr>
            <w:r>
              <w:rPr>
                <w:rFonts w:ascii="Arial" w:cs="Arial" w:eastAsia="Arial" w:hAnsi="Arial"/>
                <w:sz w:val="16"/>
                <w:szCs w:val="16"/>
                <w:color w:val="auto"/>
              </w:rPr>
              <w:t>U.S. government agency securities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5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Commercial paper</w:t>
            </w:r>
          </w:p>
        </w:tc>
        <w:tc>
          <w:tcPr>
            <w:tcW w:w="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3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64.6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62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3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hanging="368"/>
        <w:spacing w:after="0"/>
        <w:tabs>
          <w:tab w:leader="none" w:pos="740" w:val="left"/>
        </w:tabs>
        <w:numPr>
          <w:ilvl w:val="1"/>
          <w:numId w:val="17"/>
        </w:numPr>
        <w:rPr>
          <w:rFonts w:ascii="Arial" w:cs="Arial" w:eastAsia="Arial" w:hAnsi="Arial"/>
          <w:sz w:val="14"/>
          <w:szCs w:val="14"/>
          <w:color w:val="auto"/>
        </w:rPr>
      </w:pPr>
      <w:r>
        <w:rPr>
          <w:rFonts w:ascii="Arial" w:cs="Arial" w:eastAsia="Arial" w:hAnsi="Arial"/>
          <w:sz w:val="14"/>
          <w:szCs w:val="14"/>
          <w:color w:val="auto"/>
        </w:rPr>
        <w:t>Unrealized losses were insignificant for the periods ended March 31, 2021 and December 31, 2020.</w:t>
      </w:r>
    </w:p>
    <w:p>
      <w:pPr>
        <w:spacing w:after="0" w:line="200" w:lineRule="exact"/>
        <w:rPr>
          <w:rFonts w:ascii="Arial" w:cs="Arial" w:eastAsia="Arial" w:hAnsi="Arial"/>
          <w:sz w:val="14"/>
          <w:szCs w:val="14"/>
          <w:color w:val="auto"/>
        </w:rPr>
      </w:pPr>
    </w:p>
    <w:p>
      <w:pPr>
        <w:spacing w:after="0" w:line="354" w:lineRule="exact"/>
        <w:rPr>
          <w:rFonts w:ascii="Arial" w:cs="Arial" w:eastAsia="Arial" w:hAnsi="Arial"/>
          <w:sz w:val="14"/>
          <w:szCs w:val="14"/>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and Other Postretirement Benefits</w:t>
      </w:r>
    </w:p>
    <w:p>
      <w:pPr>
        <w:spacing w:after="0" w:line="1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components of net periodic benefit cost for our pension plans were as follows (dollars in millions):</w:t>
      </w:r>
    </w:p>
    <w:p>
      <w:pPr>
        <w:spacing w:after="0" w:line="30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Pension Plans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4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2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860" w:type="dxa"/>
            <w:vAlign w:val="bottom"/>
            <w:tcBorders>
              <w:bottom w:val="single" w:sz="8" w:color="CFF0FC"/>
            </w:tcBorders>
          </w:tcPr>
          <w:p>
            <w:pPr>
              <w:spacing w:after="0"/>
              <w:rPr>
                <w:sz w:val="18"/>
                <w:szCs w:val="18"/>
                <w:color w:val="auto"/>
              </w:rPr>
            </w:pPr>
          </w:p>
        </w:tc>
        <w:tc>
          <w:tcPr>
            <w:tcW w:w="20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3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FF0FC"/>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Interest cost</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2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(14.2)</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Net amortization of unrecognized amounts</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Prior service cost</w:t>
            </w:r>
          </w:p>
        </w:tc>
        <w:tc>
          <w:tcPr>
            <w:tcW w:w="2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9"/>
                <w:szCs w:val="19"/>
                <w:color w:val="auto"/>
              </w:rPr>
            </w:pPr>
          </w:p>
        </w:tc>
      </w:tr>
      <w:tr>
        <w:trPr>
          <w:trHeight w:val="213"/>
        </w:trPr>
        <w:tc>
          <w:tcPr>
            <w:tcW w:w="48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Actuarial loss</w:t>
            </w:r>
          </w:p>
        </w:tc>
        <w:tc>
          <w:tcPr>
            <w:tcW w:w="20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FF0FC"/>
            </w:tcBorders>
          </w:tcPr>
          <w:p>
            <w:pPr>
              <w:spacing w:after="0"/>
              <w:rPr>
                <w:sz w:val="18"/>
                <w:szCs w:val="18"/>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Net periodic benefit cost</w:t>
            </w:r>
          </w:p>
        </w:tc>
        <w:tc>
          <w:tcPr>
            <w:tcW w:w="3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8"/>
                <w:szCs w:val="18"/>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PCA makes pension plan contributions that are sufficient to fund its actuarially determined costs, generally equal to the minimum amounts required by the Employee Retirement Income Security Act (ERISA). From time to time, PCA may make additional discretionary contributions based on the funded status of the plans, tax deductibility, income from operations, and other factors. During the three months ended March 31, 2021 and 2020, payments to our nonqualified pension plans were insignificant. During the three months ended March 31, 2021, we did not make any contributions to our qualified pension plans, and for the three months ended March 31, 2020, we made contributions of $3.9 million to our qualified pension plans. We do not have a required minimum contribution amount established for 2021, but we expect to make discretionary contributions to our plans.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three months ended March 31, 2021 and 2020, the net periodic benefit cost for our postretirement plans was insignificant.</w:t>
      </w:r>
    </w:p>
    <w:p>
      <w:pPr>
        <w:spacing w:after="0" w:line="37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6" w:lineRule="exact"/>
        <w:rPr>
          <w:sz w:val="20"/>
          <w:szCs w:val="20"/>
          <w:color w:val="auto"/>
        </w:rPr>
      </w:pPr>
    </w:p>
    <w:p>
      <w:pPr>
        <w:ind w:firstLine="510"/>
        <w:spacing w:after="0" w:line="297" w:lineRule="auto"/>
        <w:rPr>
          <w:sz w:val="20"/>
          <w:szCs w:val="20"/>
          <w:color w:val="auto"/>
        </w:rPr>
      </w:pPr>
      <w:r>
        <w:rPr>
          <w:rFonts w:ascii="Arial" w:cs="Arial" w:eastAsia="Arial" w:hAnsi="Arial"/>
          <w:sz w:val="15"/>
          <w:szCs w:val="15"/>
          <w:color w:val="auto"/>
        </w:rPr>
        <w:t>The Company has a long-term equity incentive plan, which allows for grants of restricted stock, performance awards, stock appreciation rights, and stock options to directors, officers, and employees, as well as others who engage in services for PCA. On February 25, 2020, our board of directors approved and, on May 5, 2020, our stockholders approved, the amendment and restatement of the plan. The amendment extended the plan’s term to May 5, 2030 and increased the number of shares of common stock available for issuance under the plan by 1.4 million shares. The total number of shares authorized for past and future awards is 12.0 million shares.</w:t>
      </w:r>
    </w:p>
    <w:p>
      <w:pPr>
        <w:spacing w:after="0" w:line="172" w:lineRule="exact"/>
        <w:rPr>
          <w:sz w:val="20"/>
          <w:szCs w:val="20"/>
          <w:color w:val="auto"/>
        </w:rPr>
      </w:pPr>
    </w:p>
    <w:p>
      <w:pPr>
        <w:ind w:right="440" w:firstLine="510"/>
        <w:spacing w:after="0" w:line="293" w:lineRule="auto"/>
        <w:rPr>
          <w:sz w:val="20"/>
          <w:szCs w:val="20"/>
          <w:color w:val="auto"/>
        </w:rPr>
      </w:pPr>
      <w:r>
        <w:rPr>
          <w:rFonts w:ascii="Arial" w:cs="Arial" w:eastAsia="Arial" w:hAnsi="Arial"/>
          <w:sz w:val="16"/>
          <w:szCs w:val="16"/>
          <w:color w:val="auto"/>
        </w:rPr>
        <w:t>As of March 31, 2021, assuming performance units are paid out at the target level of performance, 1.2 million shares were available for future grants under the current plan</w:t>
      </w:r>
      <w:r>
        <w:rPr>
          <w:rFonts w:ascii="Arial" w:cs="Arial" w:eastAsia="Arial" w:hAnsi="Arial"/>
          <w:sz w:val="16"/>
          <w:szCs w:val="16"/>
          <w:color w:val="FF0000"/>
        </w:rPr>
        <w:t>.</w:t>
      </w:r>
      <w:r>
        <w:rPr>
          <w:rFonts w:ascii="Arial" w:cs="Arial" w:eastAsia="Arial" w:hAnsi="Arial"/>
          <w:sz w:val="16"/>
          <w:szCs w:val="16"/>
          <w:color w:val="auto"/>
        </w:rPr>
        <w:t xml:space="preserve"> Forfeitures are added back to the pool of shares of common stock available to be granted at a future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6"/>
          <w:szCs w:val="16"/>
          <w:color w:val="auto"/>
        </w:rPr>
        <w:t>The following table presents restricted stock and performance unit award activity for the three months ended March 31, 2021:</w:t>
      </w:r>
    </w:p>
    <w:p>
      <w:pPr>
        <w:spacing w:after="0" w:line="30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Restricted Stock</w:t>
            </w:r>
          </w:p>
        </w:tc>
        <w:tc>
          <w:tcPr>
            <w:tcW w:w="2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Performance Units</w:t>
            </w: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42"/>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42"/>
              <w:spacing w:after="0" w:line="13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Date Fair Value</w:t>
            </w: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January 1, 2021</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669,102</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102.55</w:t>
            </w:r>
          </w:p>
        </w:tc>
        <w:tc>
          <w:tcPr>
            <w:tcW w:w="2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357,417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103.63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Arial" w:cs="Arial" w:eastAsia="Arial" w:hAnsi="Arial"/>
                <w:sz w:val="16"/>
                <w:szCs w:val="16"/>
                <w:color w:val="auto"/>
              </w:rPr>
              <w:t>Granted</w:t>
            </w:r>
          </w:p>
        </w:tc>
        <w:tc>
          <w:tcPr>
            <w:tcW w:w="960" w:type="dxa"/>
            <w:vAlign w:val="bottom"/>
          </w:tcPr>
          <w:p>
            <w:pPr>
              <w:jc w:val="right"/>
              <w:spacing w:after="0"/>
              <w:rPr>
                <w:sz w:val="20"/>
                <w:szCs w:val="20"/>
                <w:color w:val="auto"/>
              </w:rPr>
            </w:pPr>
            <w:r>
              <w:rPr>
                <w:rFonts w:ascii="Arial" w:cs="Arial" w:eastAsia="Arial" w:hAnsi="Arial"/>
                <w:sz w:val="16"/>
                <w:szCs w:val="16"/>
                <w:color w:val="auto"/>
              </w:rPr>
              <w:t>168,700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133.54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95,236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Vested</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(3,508)</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Arial" w:cs="Arial" w:eastAsia="Arial" w:hAnsi="Arial"/>
                <w:sz w:val="16"/>
                <w:szCs w:val="16"/>
                <w:color w:val="auto"/>
              </w:rPr>
              <w:t>Forfeitures</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(3,284)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101.05</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March 31, 2021</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831,010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108.85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452,653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111.38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2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Our share-based compensation expense is recorded in "Selling, general, and administrative expenses." Compensation expense for share-based awards recognized in the Consolidated Statements of Income, net of forfeitures, was as follows (dollars in millions):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w:t>
            </w:r>
          </w:p>
        </w:tc>
        <w:tc>
          <w:tcPr>
            <w:tcW w:w="2520" w:type="dxa"/>
            <w:vAlign w:val="bottom"/>
            <w:gridSpan w:val="2"/>
            <w:shd w:val="clear" w:color="auto" w:fill="CFF0FC"/>
          </w:tcPr>
          <w:p>
            <w:pPr>
              <w:jc w:val="right"/>
              <w:ind w:right="768"/>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68"/>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Performance units</w:t>
            </w:r>
          </w:p>
        </w:tc>
        <w:tc>
          <w:tcPr>
            <w:tcW w:w="16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Total share-based compensation expense</w:t>
            </w:r>
          </w:p>
        </w:tc>
        <w:tc>
          <w:tcPr>
            <w:tcW w:w="16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Income tax benefit</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Share-based compensation expense, net of tax benefit</w:t>
            </w:r>
          </w:p>
        </w:tc>
        <w:tc>
          <w:tcPr>
            <w:tcW w:w="16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shd w:val="clear" w:color="auto" w:fill="CFF0FC"/>
          </w:tcPr>
          <w:p>
            <w:pPr>
              <w:spacing w:after="0"/>
              <w:rPr>
                <w:sz w:val="18"/>
                <w:szCs w:val="18"/>
                <w:color w:val="auto"/>
              </w:rPr>
            </w:pPr>
          </w:p>
        </w:tc>
        <w:tc>
          <w:tcPr>
            <w:tcW w:w="2520" w:type="dxa"/>
            <w:vAlign w:val="bottom"/>
            <w:gridSpan w:val="2"/>
            <w:shd w:val="clear" w:color="auto" w:fill="CFF0FC"/>
          </w:tcPr>
          <w:p>
            <w:pPr>
              <w:jc w:val="right"/>
              <w:ind w:right="768"/>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68"/>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560" w:firstLine="510"/>
        <w:spacing w:after="0" w:line="305" w:lineRule="auto"/>
        <w:rPr>
          <w:sz w:val="20"/>
          <w:szCs w:val="20"/>
          <w:color w:val="auto"/>
        </w:rPr>
      </w:pPr>
      <w:r>
        <w:rPr>
          <w:rFonts w:ascii="Arial" w:cs="Arial" w:eastAsia="Arial" w:hAnsi="Arial"/>
          <w:sz w:val="15"/>
          <w:szCs w:val="15"/>
          <w:color w:val="auto"/>
        </w:rPr>
        <w:t>The fair value of restricted stock is determined based on the closing price of the Company’s stock on the grant date. Compensation expense, net of estimated forfeitures, is recorded over the requisite service period. As PCA’s Board of Directors has the ability to accelerate the vesting of these awards upon an employee’s retirement, the Company accelerates the recognition of compensation expense for certain employees approaching normal retirement age.</w:t>
      </w:r>
    </w:p>
    <w:p>
      <w:pPr>
        <w:spacing w:after="0" w:line="166" w:lineRule="exact"/>
        <w:rPr>
          <w:sz w:val="20"/>
          <w:szCs w:val="20"/>
          <w:color w:val="auto"/>
        </w:rPr>
      </w:pPr>
    </w:p>
    <w:p>
      <w:pPr>
        <w:ind w:firstLine="510"/>
        <w:spacing w:after="0" w:line="288" w:lineRule="auto"/>
        <w:rPr>
          <w:sz w:val="20"/>
          <w:szCs w:val="20"/>
          <w:color w:val="auto"/>
        </w:rPr>
      </w:pPr>
      <w:r>
        <w:rPr>
          <w:rFonts w:ascii="Arial" w:cs="Arial" w:eastAsia="Arial" w:hAnsi="Arial"/>
          <w:sz w:val="15"/>
          <w:szCs w:val="15"/>
          <w:color w:val="auto"/>
        </w:rPr>
        <w:t>Performance unit awards granted to certain key employees are earned based on the achievement of defined performance rankings of Return on Invested Capital (ROIC) or Total Shareholder Return (TSR) compared to ROIC and TSR for peer companies. For performance unit awards made in 2021 and 2020, in terms of grant date value, 50% used TSR as the performance measure and 50% used ROIC as the performance measure. The ROIC component of performance unit awards is valued based on the closing price of the stock on the grant date. As the ROIC component contains a performance condition, compensation expense, net of estimated forfeitures, is recorded over the requisite service period based on the most probable number of awards expected to vest. The TSR component of performance unit awards is valued using a Monte Carlo simulation as the TSR component contains a market condition. The Monte Carlo simulation estimates the fair value of the TSR component based on the expected term of the award, a risk-free interest rate, expected dividends, and expected volatility of the Company’s common stock and the common stock of the peer companies. Compensation expense is recorded ratably over the expected term of the award.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unrecognized compensation expense for all share-based awards at March 31, 2021 was as follows (dollars in millions):</w:t>
      </w: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90"/>
              </w:rPr>
              <w:t>Unrecognized</w:t>
            </w:r>
          </w:p>
        </w:tc>
        <w:tc>
          <w:tcPr>
            <w:tcW w:w="140" w:type="dxa"/>
            <w:vAlign w:val="bottom"/>
          </w:tcPr>
          <w:p>
            <w:pPr>
              <w:spacing w:after="0"/>
              <w:rPr>
                <w:sz w:val="11"/>
                <w:szCs w:val="11"/>
                <w:color w:val="auto"/>
              </w:rPr>
            </w:pPr>
          </w:p>
        </w:tc>
        <w:tc>
          <w:tcPr>
            <w:tcW w:w="1620" w:type="dxa"/>
            <w:vAlign w:val="bottom"/>
          </w:tcPr>
          <w:p>
            <w:pPr>
              <w:jc w:val="center"/>
              <w:ind w:right="28"/>
              <w:spacing w:after="0" w:line="133"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16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Recognition</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CFF0FC"/>
            </w:tcBorders>
          </w:tcPr>
          <w:p>
            <w:pPr>
              <w:spacing w:after="0"/>
              <w:rPr>
                <w:sz w:val="14"/>
                <w:szCs w:val="14"/>
                <w:color w:val="auto"/>
              </w:rPr>
            </w:pPr>
          </w:p>
        </w:tc>
        <w:tc>
          <w:tcPr>
            <w:tcW w:w="1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Period (in years)</w:t>
            </w: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39.4</w:t>
            </w:r>
          </w:p>
        </w:tc>
        <w:tc>
          <w:tcPr>
            <w:tcW w:w="17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Performance units</w:t>
            </w:r>
          </w:p>
        </w:tc>
        <w:tc>
          <w:tcPr>
            <w:tcW w:w="1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28.0</w:t>
            </w:r>
          </w:p>
        </w:tc>
        <w:tc>
          <w:tcPr>
            <w:tcW w:w="1760" w:type="dxa"/>
            <w:vAlign w:val="bottom"/>
            <w:tcBorders>
              <w:bottom w:val="single" w:sz="8" w:color="CFF0FC"/>
            </w:tcBorders>
            <w:gridSpan w:val="2"/>
          </w:tcPr>
          <w:p>
            <w:pPr>
              <w:jc w:val="right"/>
              <w:ind w:right="28"/>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Total unrecognized share-based compensation expense</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67.4</w:t>
            </w:r>
          </w:p>
        </w:tc>
        <w:tc>
          <w:tcPr>
            <w:tcW w:w="17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right="9100" w:hanging="512"/>
        <w:spacing w:after="0" w:line="388" w:lineRule="auto"/>
        <w:tabs>
          <w:tab w:leader="none" w:pos="51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Dividends</w:t>
      </w:r>
    </w:p>
    <w:p>
      <w:pPr>
        <w:spacing w:after="0" w:line="1" w:lineRule="exact"/>
        <w:rPr>
          <w:sz w:val="20"/>
          <w:szCs w:val="20"/>
          <w:color w:val="auto"/>
        </w:rPr>
      </w:pPr>
    </w:p>
    <w:p>
      <w:pPr>
        <w:ind w:right="300" w:firstLine="510"/>
        <w:spacing w:after="0" w:line="278" w:lineRule="auto"/>
        <w:rPr>
          <w:sz w:val="20"/>
          <w:szCs w:val="20"/>
          <w:color w:val="auto"/>
        </w:rPr>
      </w:pPr>
      <w:r>
        <w:rPr>
          <w:rFonts w:ascii="Arial" w:cs="Arial" w:eastAsia="Arial" w:hAnsi="Arial"/>
          <w:sz w:val="16"/>
          <w:szCs w:val="16"/>
          <w:color w:val="auto"/>
        </w:rPr>
        <w:t>During the three months ended March 31, 2021, we paid $94.8 million of dividends to shareholders. On February 23, 2021, PCA’s Board of Directors declared a regular quarterly cash dividend of $1.00 per share of common stock, which was paid on April 15, 2021 to shareholders of record as of March 15, 2021. The dividend payment was $95.0 million.</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122" w:lineRule="exact"/>
        <w:rPr>
          <w:sz w:val="20"/>
          <w:szCs w:val="20"/>
          <w:color w:val="auto"/>
        </w:rPr>
      </w:pPr>
    </w:p>
    <w:p>
      <w:pPr>
        <w:ind w:right="500" w:firstLine="510"/>
        <w:spacing w:after="0" w:line="293" w:lineRule="auto"/>
        <w:rPr>
          <w:sz w:val="20"/>
          <w:szCs w:val="20"/>
          <w:color w:val="auto"/>
        </w:rPr>
      </w:pPr>
      <w:r>
        <w:rPr>
          <w:rFonts w:ascii="Arial" w:cs="Arial" w:eastAsia="Arial" w:hAnsi="Arial"/>
          <w:sz w:val="16"/>
          <w:szCs w:val="16"/>
          <w:color w:val="auto"/>
        </w:rPr>
        <w:t>On February 25, 2016, PCA announced that its Board of Directors authorized the repurchase of $200.0 million of the Company’s outstanding common stock. Repurchases may be made from time to time in open market or privately negotiated transactions in accordance with applicable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4" w:name="page15"/>
    <w:bookmarkEnd w:id="14"/>
    <w:p>
      <w:pPr>
        <w:ind w:right="40"/>
        <w:spacing w:after="0" w:line="293" w:lineRule="auto"/>
        <w:rPr>
          <w:sz w:val="20"/>
          <w:szCs w:val="20"/>
          <w:color w:val="auto"/>
        </w:rPr>
      </w:pPr>
      <w:r>
        <w:rPr>
          <w:rFonts w:ascii="Arial" w:cs="Arial" w:eastAsia="Arial" w:hAnsi="Arial"/>
          <w:sz w:val="16"/>
          <w:szCs w:val="16"/>
          <w:color w:val="auto"/>
        </w:rPr>
        <w:t>securities regulations. The timing and amount of repurchases will be determined by the Company in its discretion based on factors such as PCA’s stock price and market and business conditions.</w:t>
      </w:r>
    </w:p>
    <w:p>
      <w:pPr>
        <w:spacing w:after="0" w:line="172"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The Company did not repurchase any shares of its common stock under this authority during the three months ended March 31, 2021. At March 31, 2021, $193.0 million of the authorized amount remained available for repurchase of the Company’s common stock.</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Changes in accumulated other comprehensive income (loss) (AOCI) by component were as follows (dollars in millions). Amounts in parentheses indicate losses: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Unrealized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Unrealized Loss</w:t>
            </w: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Unfunded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on Foreign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Employee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Exchange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on Marketable</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2"/>
              </w:rPr>
              <w:t>Debt Securities</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Obligations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Balance at January 1, 2021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(0.2)</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(144.2)</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auto"/>
              </w:rPr>
              <w:t>Other comprehensive income before reclassifications,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120"/>
              <w:spacing w:after="0"/>
              <w:rPr>
                <w:sz w:val="20"/>
                <w:szCs w:val="20"/>
                <w:color w:val="auto"/>
              </w:rPr>
            </w:pPr>
            <w:r>
              <w:rPr>
                <w:rFonts w:ascii="Arial" w:cs="Arial" w:eastAsia="Arial" w:hAnsi="Arial"/>
                <w:sz w:val="16"/>
                <w:szCs w:val="16"/>
                <w:color w:val="auto"/>
              </w:rPr>
              <w:t>net of tax</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Amounts reclassified from AOCI, net of tax</w:t>
            </w:r>
          </w:p>
        </w:tc>
        <w:tc>
          <w:tcPr>
            <w:tcW w:w="7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6"/>
                <w:szCs w:val="16"/>
                <w:color w:val="auto"/>
              </w:rPr>
              <w:t>Balance at March 31, 2021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(141.7)</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(142.1)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Reclassifications out of AOCI were as follows (dollars in millions). Amounts in parentheses indicate expenses in the Consolidated Statements of Income: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Amounts Reclassified from AOCI</w:t>
            </w: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 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Details about AOCI Components</w:t>
            </w:r>
          </w:p>
        </w:tc>
        <w:tc>
          <w:tcPr>
            <w:tcW w:w="16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4"/>
                <w:szCs w:val="14"/>
                <w:color w:val="auto"/>
              </w:rPr>
            </w:pPr>
          </w:p>
        </w:tc>
        <w:tc>
          <w:tcPr>
            <w:tcW w:w="16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Unfunded employee benefit obligations (a)</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gridSpan w:val="2"/>
          </w:tcPr>
          <w:p>
            <w:pPr>
              <w:ind w:left="260"/>
              <w:spacing w:after="0"/>
              <w:rPr>
                <w:sz w:val="20"/>
                <w:szCs w:val="20"/>
                <w:color w:val="auto"/>
              </w:rPr>
            </w:pPr>
            <w:r>
              <w:rPr>
                <w:rFonts w:ascii="Arial" w:cs="Arial" w:eastAsia="Arial" w:hAnsi="Arial"/>
                <w:sz w:val="16"/>
                <w:szCs w:val="16"/>
                <w:color w:val="auto"/>
              </w:rPr>
              <w:t>Amortization of prior service costs</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(0.8)</w:t>
            </w:r>
          </w:p>
        </w:tc>
        <w:tc>
          <w:tcPr>
            <w:tcW w:w="16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(1.0)</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See (a) below</w:t>
            </w:r>
          </w:p>
        </w:tc>
        <w:tc>
          <w:tcPr>
            <w:tcW w:w="0" w:type="dxa"/>
            <w:vAlign w:val="bottom"/>
          </w:tcPr>
          <w:p>
            <w:pPr>
              <w:spacing w:after="0"/>
              <w:rPr>
                <w:sz w:val="1"/>
                <w:szCs w:val="1"/>
                <w:color w:val="auto"/>
              </w:rPr>
            </w:pPr>
          </w:p>
        </w:tc>
      </w:tr>
      <w:tr>
        <w:trPr>
          <w:trHeight w:val="21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Amortization of actuarial losses</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(2.6)</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See (a) below</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1"/>
              </w:rPr>
              <w:t>Total before tax</w:t>
            </w:r>
          </w:p>
        </w:tc>
        <w:tc>
          <w:tcPr>
            <w:tcW w:w="0" w:type="dxa"/>
            <w:vAlign w:val="bottom"/>
          </w:tcPr>
          <w:p>
            <w:pPr>
              <w:spacing w:after="0" w:line="20" w:lineRule="exact"/>
              <w:rPr>
                <w:sz w:val="1"/>
                <w:szCs w:val="1"/>
                <w:color w:val="auto"/>
              </w:rPr>
            </w:pPr>
          </w:p>
        </w:tc>
      </w:tr>
      <w:tr>
        <w:trPr>
          <w:trHeight w:val="207"/>
        </w:trPr>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(3.6)</w:t>
            </w: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Tax benefit</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(2.7)</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Net of tax</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right="220" w:hanging="492"/>
        <w:spacing w:after="0" w:line="253" w:lineRule="auto"/>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AOCI components are included in the computation of net pension and postretirement benefit costs. See Note 13, Employee Benefit Plans and Other Postretirement Benefits, for additional information.</w:t>
      </w:r>
    </w:p>
    <w:p>
      <w:pPr>
        <w:spacing w:after="0" w:line="24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Risk</w:t>
      </w:r>
    </w:p>
    <w:p>
      <w:pPr>
        <w:spacing w:after="0" w:line="126" w:lineRule="exact"/>
        <w:rPr>
          <w:sz w:val="20"/>
          <w:szCs w:val="20"/>
          <w:color w:val="auto"/>
        </w:rPr>
      </w:pPr>
    </w:p>
    <w:p>
      <w:pPr>
        <w:ind w:right="200" w:firstLine="510"/>
        <w:spacing w:after="0" w:line="283" w:lineRule="auto"/>
        <w:rPr>
          <w:sz w:val="20"/>
          <w:szCs w:val="20"/>
          <w:color w:val="auto"/>
        </w:rPr>
      </w:pPr>
      <w:r>
        <w:rPr>
          <w:rFonts w:ascii="Arial" w:cs="Arial" w:eastAsia="Arial" w:hAnsi="Arial"/>
          <w:sz w:val="14"/>
          <w:szCs w:val="14"/>
          <w:color w:val="auto"/>
        </w:rPr>
        <w:t>Our Paper segment has a long-standing commercial and contractual relationship with Office Depot, our largest customer in the paper business. This relationship exposes us to a significant concentration of business and financial risk. Our sales to Office Depot represent approximately 4% and 5% of our total Company sales revenue for the three month periods ended March 31, 2021 and 2020, respectively, and approximately 45% and 43% of our Paper segment sales revenue for both of those periods, respectively. For full year 2020, sales to Office Depot represented 45% of our Paper segment sales. At March 31, 2021 and December 31, 2020, we had $38.8 million and $39.6 million of accounts receivable due from Office Depot, respectively, which represents 4% and 5% of our total Company accounts receivable, respectively.</w:t>
      </w:r>
    </w:p>
    <w:p>
      <w:pPr>
        <w:spacing w:after="0" w:line="257"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26" w:lineRule="exact"/>
        <w:rPr>
          <w:sz w:val="20"/>
          <w:szCs w:val="20"/>
          <w:color w:val="auto"/>
        </w:rPr>
      </w:pPr>
    </w:p>
    <w:p>
      <w:pPr>
        <w:ind w:right="140" w:firstLine="510"/>
        <w:spacing w:after="0" w:line="252" w:lineRule="auto"/>
        <w:rPr>
          <w:sz w:val="20"/>
          <w:szCs w:val="20"/>
          <w:color w:val="auto"/>
        </w:rPr>
      </w:pPr>
      <w:r>
        <w:rPr>
          <w:rFonts w:ascii="Arial" w:cs="Arial" w:eastAsia="Arial" w:hAnsi="Arial"/>
          <w:sz w:val="15"/>
          <w:szCs w:val="15"/>
          <w:color w:val="auto"/>
        </w:rPr>
        <w:t>Louisiana Timber Procurement Company, L.L.C. (LTP) is a variable-interest entity that is 50% owned by PCA and 50% owned by Boise Cascade Company (Boise Cascade). LTP procures sawtimber, pulpwood, residual chips, and other residual wood fiber to meet the wood and fiber requirements of PCA and Boise Cascade in Louisiana. PCA is the primary beneficiary of LTP and has the power to direct the activities that most significantly affect the economic performance of LTP. Therefore, we consolidate 100% of LTP in our financial statements in our Corporate and Other segment. The carrying amounts of LTP's assets and liabilities (which relate primarily to non-inventory working capital items) on our Consolidated Balance Sheets were $2.1 million at March 31, 2021 and $2.5 million at December 31, 2020. During the three months ended March 31, 2021 and 2020, we recorded $20.3 million and $22.6 million, respectively, of LTP sales to Boise Cascade in "Net Sales" in the Consolidated Statements of Income and approximately the same amount of expenses in "Cost of Sales".</w:t>
      </w:r>
    </w:p>
    <w:p>
      <w:pPr>
        <w:spacing w:after="0" w:line="186" w:lineRule="exact"/>
        <w:rPr>
          <w:sz w:val="20"/>
          <w:szCs w:val="20"/>
          <w:color w:val="auto"/>
        </w:rPr>
      </w:pPr>
    </w:p>
    <w:p>
      <w:pPr>
        <w:ind w:right="400" w:firstLine="510"/>
        <w:spacing w:after="0" w:line="281" w:lineRule="auto"/>
        <w:rPr>
          <w:sz w:val="20"/>
          <w:szCs w:val="20"/>
          <w:color w:val="auto"/>
        </w:rPr>
      </w:pPr>
      <w:r>
        <w:rPr>
          <w:rFonts w:ascii="Arial" w:cs="Arial" w:eastAsia="Arial" w:hAnsi="Arial"/>
          <w:sz w:val="16"/>
          <w:szCs w:val="16"/>
          <w:color w:val="auto"/>
        </w:rPr>
        <w:t>During the three months ended March 31, 2021 and 2020, fiber purchases from related parties were $3.3 million and $4.2 million</w:t>
      </w:r>
      <w:r>
        <w:rPr>
          <w:rFonts w:ascii="Arial" w:cs="Arial" w:eastAsia="Arial" w:hAnsi="Arial"/>
          <w:sz w:val="16"/>
          <w:szCs w:val="16"/>
          <w:b w:val="1"/>
          <w:bCs w:val="1"/>
          <w:color w:val="auto"/>
        </w:rPr>
        <w:t>,</w:t>
      </w:r>
      <w:r>
        <w:rPr>
          <w:rFonts w:ascii="Arial" w:cs="Arial" w:eastAsia="Arial" w:hAnsi="Arial"/>
          <w:sz w:val="16"/>
          <w:szCs w:val="16"/>
          <w:color w:val="auto"/>
        </w:rPr>
        <w:t xml:space="preserve"> respectively. Most of these purchases related to chip and log purchases by LTP from Boise Cascade's wood products business. These purchases are recorded in "Cost of Sales" in the Consolidated Statements of Income.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 w:name="page16"/>
    <w:bookmarkEnd w:id="15"/>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6" w:lineRule="exact"/>
        <w:rPr>
          <w:sz w:val="20"/>
          <w:szCs w:val="20"/>
          <w:color w:val="auto"/>
        </w:rPr>
      </w:pPr>
    </w:p>
    <w:p>
      <w:pPr>
        <w:ind w:right="340" w:firstLine="510"/>
        <w:spacing w:after="0" w:line="293" w:lineRule="auto"/>
        <w:rPr>
          <w:sz w:val="20"/>
          <w:szCs w:val="20"/>
          <w:color w:val="auto"/>
        </w:rPr>
      </w:pPr>
      <w:r>
        <w:rPr>
          <w:rFonts w:ascii="Arial" w:cs="Arial" w:eastAsia="Arial" w:hAnsi="Arial"/>
          <w:sz w:val="16"/>
          <w:szCs w:val="16"/>
          <w:color w:val="auto"/>
        </w:rPr>
        <w:t>We report our business in three reportable segments: Packaging, Paper, and Corporate and Other. These segments represent distinct businesses that are managed separately because of differing products and services. Each of these businesses requires distinct operating and marketing strategies.</w:t>
      </w:r>
    </w:p>
    <w:p>
      <w:pPr>
        <w:spacing w:after="0" w:line="172" w:lineRule="exact"/>
        <w:rPr>
          <w:sz w:val="20"/>
          <w:szCs w:val="20"/>
          <w:color w:val="auto"/>
        </w:rPr>
      </w:pPr>
    </w:p>
    <w:p>
      <w:pPr>
        <w:ind w:right="100" w:firstLine="510"/>
        <w:spacing w:after="0" w:line="297" w:lineRule="auto"/>
        <w:rPr>
          <w:sz w:val="20"/>
          <w:szCs w:val="20"/>
          <w:color w:val="auto"/>
        </w:rPr>
      </w:pPr>
      <w:r>
        <w:rPr>
          <w:rFonts w:ascii="Arial" w:cs="Arial" w:eastAsia="Arial" w:hAnsi="Arial"/>
          <w:sz w:val="15"/>
          <w:szCs w:val="15"/>
          <w:color w:val="auto"/>
        </w:rPr>
        <w:t>During the fourth quarter of 2020, in order to meet strong packaging demand and maintain appropriate inventory levels, we temporarily began producing linerboard on the No. 3 machine at our Jackson, Alabama mill. In the first quarter of 2021, we announced the discontinuation of production of uncoated freesheet paper grades on the machine and the permanent conversion of the machine to produce linerboard. Before October 2020, operating results for the Jackson mill were included in the Paper segment. Beginning in October 2020, operating results for the Jackson mill are included in both the Packaging and Paper segments.</w:t>
      </w:r>
    </w:p>
    <w:p>
      <w:pPr>
        <w:spacing w:after="0" w:line="172" w:lineRule="exact"/>
        <w:rPr>
          <w:sz w:val="20"/>
          <w:szCs w:val="20"/>
          <w:color w:val="auto"/>
        </w:rPr>
      </w:pPr>
    </w:p>
    <w:p>
      <w:pPr>
        <w:ind w:right="460" w:firstLine="510"/>
        <w:spacing w:after="0" w:line="293" w:lineRule="auto"/>
        <w:rPr>
          <w:sz w:val="20"/>
          <w:szCs w:val="20"/>
          <w:color w:val="auto"/>
        </w:rPr>
      </w:pPr>
      <w:r>
        <w:rPr>
          <w:rFonts w:ascii="Arial" w:cs="Arial" w:eastAsia="Arial" w:hAnsi="Arial"/>
          <w:sz w:val="16"/>
          <w:szCs w:val="16"/>
          <w:color w:val="auto"/>
        </w:rPr>
        <w:t>Each segment’s profits and losses are measured on operating profits before interest expense, net, non-operating pension income, and income taxes. For certain allocated expenses, the related assets and liabilities remain in the Corporate and Other segment.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Selected financial information by reportable segment was as follows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w w:val="91"/>
              </w:rPr>
              <w:t>Sales, net</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Operating Income (Loss)</w:t>
            </w:r>
          </w:p>
        </w:tc>
        <w:tc>
          <w:tcPr>
            <w:tcW w:w="8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Trade</w:t>
            </w:r>
          </w:p>
        </w:tc>
        <w:tc>
          <w:tcPr>
            <w:tcW w:w="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Intersegment</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FF0FC"/>
            </w:tcBorders>
            <w:vMerge w:val="continue"/>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Packaging</w:t>
            </w:r>
          </w:p>
        </w:tc>
        <w:tc>
          <w:tcPr>
            <w:tcW w:w="500" w:type="dxa"/>
            <w:vAlign w:val="bottom"/>
            <w:gridSpan w:val="2"/>
            <w:shd w:val="clear" w:color="auto" w:fill="CFF0FC"/>
          </w:tcPr>
          <w:p>
            <w:pPr>
              <w:jc w:val="right"/>
              <w:ind w:right="195"/>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1,619.8</w:t>
            </w:r>
          </w:p>
        </w:tc>
        <w:tc>
          <w:tcPr>
            <w:tcW w:w="46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1,623.6</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257.9</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93"/>
              </w:rPr>
              <w:t>(a)</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6"/>
                <w:szCs w:val="16"/>
                <w:color w:val="auto"/>
              </w:rPr>
              <w:t>Paper</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164.6</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8"/>
                <w:szCs w:val="18"/>
                <w:color w:val="auto"/>
              </w:rPr>
            </w:pPr>
          </w:p>
        </w:tc>
        <w:tc>
          <w:tcPr>
            <w:tcW w:w="580" w:type="dxa"/>
            <w:vAlign w:val="bottom"/>
          </w:tcPr>
          <w:p>
            <w:pPr>
              <w:jc w:val="right"/>
              <w:ind w:right="328"/>
              <w:spacing w:after="0"/>
              <w:rPr>
                <w:sz w:val="20"/>
                <w:szCs w:val="20"/>
                <w:color w:val="auto"/>
              </w:rPr>
            </w:pPr>
            <w:r>
              <w:rPr>
                <w:rFonts w:ascii="Arial" w:cs="Arial" w:eastAsia="Arial" w:hAnsi="Arial"/>
                <w:sz w:val="14"/>
                <w:szCs w:val="14"/>
                <w:color w:val="auto"/>
                <w:w w:val="93"/>
              </w:rPr>
              <w:t>(a)</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(28.3)</w:t>
            </w: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gridSpan w:val="3"/>
          </w:tcPr>
          <w:p>
            <w:pPr>
              <w:spacing w:after="0"/>
              <w:rPr>
                <w:sz w:val="20"/>
                <w:szCs w:val="20"/>
                <w:color w:val="auto"/>
              </w:rPr>
            </w:pPr>
            <w:r>
              <w:rPr>
                <w:rFonts w:ascii="Arial" w:cs="Arial" w:eastAsia="Arial" w:hAnsi="Arial"/>
                <w:sz w:val="16"/>
                <w:szCs w:val="16"/>
                <w:color w:val="auto"/>
              </w:rPr>
              <w:t>Intersegment eliminations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(36.4)</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(36.4)</w:t>
            </w:r>
          </w:p>
        </w:tc>
        <w:tc>
          <w:tcPr>
            <w:tcW w:w="6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95"/>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1,807.2</w:t>
            </w:r>
          </w:p>
        </w:tc>
        <w:tc>
          <w:tcPr>
            <w:tcW w:w="46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w:t>
            </w:r>
          </w:p>
        </w:tc>
        <w:tc>
          <w:tcPr>
            <w:tcW w:w="14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1,807.2</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238.3</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6"/>
                <w:szCs w:val="16"/>
                <w:color w:val="auto"/>
              </w:rPr>
              <w:t>Non-operating pension income</w:t>
            </w: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(23.5)</w:t>
            </w: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080" w:type="dxa"/>
            <w:vAlign w:val="bottom"/>
            <w:gridSpan w:val="3"/>
          </w:tcPr>
          <w:p>
            <w:pPr>
              <w:spacing w:after="0"/>
              <w:rPr>
                <w:sz w:val="20"/>
                <w:szCs w:val="20"/>
                <w:color w:val="auto"/>
              </w:rPr>
            </w:pPr>
            <w:r>
              <w:rPr>
                <w:rFonts w:ascii="Arial" w:cs="Arial" w:eastAsia="Arial" w:hAnsi="Arial"/>
                <w:sz w:val="16"/>
                <w:szCs w:val="16"/>
                <w:color w:val="auto"/>
              </w:rPr>
              <w:t>Income before taxes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net</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4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4"/>
              </w:rPr>
              <w:t>Operating Income (Loss)</w:t>
            </w:r>
          </w:p>
        </w:tc>
        <w:tc>
          <w:tcPr>
            <w:tcW w:w="80" w:type="dxa"/>
            <w:vAlign w:val="bottom"/>
            <w:vMerge w:val="restart"/>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4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Trade</w:t>
            </w:r>
          </w:p>
        </w:tc>
        <w:tc>
          <w:tcPr>
            <w:tcW w:w="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w w:val="97"/>
              </w:rPr>
              <w:t>Intersegment</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FF0FC"/>
            </w:tcBorders>
            <w:vMerge w:val="continue"/>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Packaging</w:t>
            </w:r>
          </w:p>
        </w:tc>
        <w:tc>
          <w:tcPr>
            <w:tcW w:w="500" w:type="dxa"/>
            <w:vAlign w:val="bottom"/>
            <w:gridSpan w:val="2"/>
            <w:shd w:val="clear" w:color="auto" w:fill="CFF0FC"/>
          </w:tcPr>
          <w:p>
            <w:pPr>
              <w:jc w:val="right"/>
              <w:ind w:right="235"/>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1,465.4</w:t>
            </w:r>
          </w:p>
        </w:tc>
        <w:tc>
          <w:tcPr>
            <w:tcW w:w="460" w:type="dxa"/>
            <w:vAlign w:val="bottom"/>
            <w:gridSpan w:val="2"/>
            <w:shd w:val="clear" w:color="auto" w:fill="CFF0FC"/>
          </w:tcPr>
          <w:p>
            <w:pPr>
              <w:jc w:val="right"/>
              <w:ind w:right="15"/>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1,467.5</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199.8</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93"/>
              </w:rPr>
              <w:t>(b)</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6"/>
                <w:szCs w:val="16"/>
                <w:color w:val="auto"/>
              </w:rPr>
              <w:t>Paper</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217.4</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8"/>
                <w:szCs w:val="18"/>
                <w:color w:val="auto"/>
              </w:rPr>
            </w:pPr>
          </w:p>
        </w:tc>
        <w:tc>
          <w:tcPr>
            <w:tcW w:w="580" w:type="dxa"/>
            <w:vAlign w:val="bottom"/>
          </w:tcPr>
          <w:p>
            <w:pPr>
              <w:jc w:val="right"/>
              <w:ind w:right="328"/>
              <w:spacing w:after="0"/>
              <w:rPr>
                <w:sz w:val="20"/>
                <w:szCs w:val="20"/>
                <w:color w:val="auto"/>
              </w:rPr>
            </w:pPr>
            <w:r>
              <w:rPr>
                <w:rFonts w:ascii="Arial" w:cs="Arial" w:eastAsia="Arial" w:hAnsi="Arial"/>
                <w:sz w:val="14"/>
                <w:szCs w:val="14"/>
                <w:color w:val="auto"/>
                <w:w w:val="93"/>
              </w:rPr>
              <w:t>(b)</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34.3</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60.2</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(23.2)</w:t>
            </w: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gridSpan w:val="3"/>
          </w:tcPr>
          <w:p>
            <w:pPr>
              <w:spacing w:after="0"/>
              <w:rPr>
                <w:sz w:val="20"/>
                <w:szCs w:val="20"/>
                <w:color w:val="auto"/>
              </w:rPr>
            </w:pPr>
            <w:r>
              <w:rPr>
                <w:rFonts w:ascii="Arial" w:cs="Arial" w:eastAsia="Arial" w:hAnsi="Arial"/>
                <w:sz w:val="16"/>
                <w:szCs w:val="16"/>
                <w:color w:val="auto"/>
              </w:rPr>
              <w:t>Intersegment eliminations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(36.4)</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(36.4)</w:t>
            </w:r>
          </w:p>
        </w:tc>
        <w:tc>
          <w:tcPr>
            <w:tcW w:w="6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1,708.7</w:t>
            </w:r>
          </w:p>
        </w:tc>
        <w:tc>
          <w:tcPr>
            <w:tcW w:w="32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1,708.7</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209.1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6"/>
                <w:szCs w:val="16"/>
                <w:color w:val="auto"/>
              </w:rPr>
              <w:t>Non-operating pension expense</w:t>
            </w: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(19.6)</w:t>
            </w:r>
          </w:p>
        </w:tc>
        <w:tc>
          <w:tcPr>
            <w:tcW w:w="5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80" w:type="dxa"/>
            <w:vAlign w:val="bottom"/>
            <w:gridSpan w:val="3"/>
          </w:tcPr>
          <w:p>
            <w:pPr>
              <w:spacing w:after="0"/>
              <w:rPr>
                <w:sz w:val="20"/>
                <w:szCs w:val="20"/>
                <w:color w:val="auto"/>
              </w:rPr>
            </w:pPr>
            <w:r>
              <w:rPr>
                <w:rFonts w:ascii="Arial" w:cs="Arial" w:eastAsia="Arial" w:hAnsi="Arial"/>
                <w:sz w:val="16"/>
                <w:szCs w:val="16"/>
                <w:color w:val="auto"/>
              </w:rPr>
              <w:t>Income before taxes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00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4"/>
          <w:szCs w:val="14"/>
          <w:color w:val="auto"/>
        </w:rPr>
        <w:t>The three months ended March 31, 2021 include the following:</w:t>
      </w:r>
    </w:p>
    <w:p>
      <w:pPr>
        <w:spacing w:after="0" w:line="97" w:lineRule="exact"/>
        <w:rPr>
          <w:rFonts w:ascii="Arial" w:cs="Arial" w:eastAsia="Arial" w:hAnsi="Arial"/>
          <w:sz w:val="15"/>
          <w:szCs w:val="15"/>
          <w:color w:val="auto"/>
        </w:rPr>
      </w:pPr>
    </w:p>
    <w:p>
      <w:pPr>
        <w:ind w:left="520" w:hanging="148"/>
        <w:spacing w:after="0"/>
        <w:tabs>
          <w:tab w:leader="none" w:pos="520" w:val="left"/>
        </w:tabs>
        <w:numPr>
          <w:ilvl w:val="1"/>
          <w:numId w:val="25"/>
        </w:numPr>
        <w:rPr>
          <w:rFonts w:ascii="Arial" w:cs="Arial" w:eastAsia="Arial" w:hAnsi="Arial"/>
          <w:sz w:val="14"/>
          <w:szCs w:val="14"/>
          <w:color w:val="auto"/>
        </w:rPr>
      </w:pPr>
      <w:r>
        <w:rPr>
          <w:rFonts w:ascii="Arial" w:cs="Arial" w:eastAsia="Arial" w:hAnsi="Arial"/>
          <w:sz w:val="14"/>
          <w:szCs w:val="14"/>
          <w:color w:val="auto"/>
        </w:rPr>
        <w:t>$2.1 million of charges consisting of closure costs related to corrugated products facilities.</w:t>
      </w:r>
    </w:p>
    <w:p>
      <w:pPr>
        <w:spacing w:after="0" w:line="109" w:lineRule="exact"/>
        <w:rPr>
          <w:rFonts w:ascii="Arial" w:cs="Arial" w:eastAsia="Arial" w:hAnsi="Arial"/>
          <w:sz w:val="14"/>
          <w:szCs w:val="14"/>
          <w:color w:val="auto"/>
        </w:rPr>
      </w:pPr>
    </w:p>
    <w:p>
      <w:pPr>
        <w:ind w:left="380" w:right="140" w:hanging="8"/>
        <w:spacing w:after="0" w:line="253" w:lineRule="auto"/>
        <w:tabs>
          <w:tab w:leader="none" w:pos="524" w:val="left"/>
        </w:tabs>
        <w:numPr>
          <w:ilvl w:val="1"/>
          <w:numId w:val="25"/>
        </w:numPr>
        <w:rPr>
          <w:rFonts w:ascii="Arial" w:cs="Arial" w:eastAsia="Arial" w:hAnsi="Arial"/>
          <w:sz w:val="14"/>
          <w:szCs w:val="14"/>
          <w:color w:val="auto"/>
        </w:rPr>
      </w:pPr>
      <w:r>
        <w:rPr>
          <w:rFonts w:ascii="Arial" w:cs="Arial" w:eastAsia="Arial" w:hAnsi="Arial"/>
          <w:sz w:val="14"/>
          <w:szCs w:val="14"/>
          <w:color w:val="auto"/>
        </w:rPr>
        <w:t>$1.1 million of charges related to the announced discontinuation of production of uncoated freesheet paper grades on the No. 3 machine at the Jackson, Alabama mill in the first quarter of 2021 associated with the permanent conversion of the machine to produce linerboard.</w:t>
      </w:r>
    </w:p>
    <w:p>
      <w:pPr>
        <w:spacing w:after="0" w:line="200" w:lineRule="exact"/>
        <w:rPr>
          <w:rFonts w:ascii="Arial" w:cs="Arial" w:eastAsia="Arial" w:hAnsi="Arial"/>
          <w:sz w:val="14"/>
          <w:szCs w:val="14"/>
          <w:color w:val="auto"/>
        </w:rPr>
      </w:pPr>
    </w:p>
    <w:p>
      <w:pPr>
        <w:spacing w:after="0" w:line="257" w:lineRule="exact"/>
        <w:rPr>
          <w:rFonts w:ascii="Arial" w:cs="Arial" w:eastAsia="Arial" w:hAnsi="Arial"/>
          <w:sz w:val="14"/>
          <w:szCs w:val="14"/>
          <w:color w:val="auto"/>
        </w:rPr>
      </w:pPr>
    </w:p>
    <w:p>
      <w:pPr>
        <w:ind w:left="380" w:hanging="372"/>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4"/>
          <w:szCs w:val="14"/>
          <w:color w:val="auto"/>
        </w:rPr>
        <w:t>The three months ended March 31, 2020 include the following:</w:t>
      </w:r>
    </w:p>
    <w:p>
      <w:pPr>
        <w:spacing w:after="0" w:line="97" w:lineRule="exact"/>
        <w:rPr>
          <w:rFonts w:ascii="Arial" w:cs="Arial" w:eastAsia="Arial" w:hAnsi="Arial"/>
          <w:sz w:val="15"/>
          <w:szCs w:val="15"/>
          <w:color w:val="auto"/>
        </w:rPr>
      </w:pPr>
    </w:p>
    <w:p>
      <w:pPr>
        <w:ind w:left="380" w:right="160"/>
        <w:spacing w:after="0" w:line="253" w:lineRule="auto"/>
        <w:rPr>
          <w:rFonts w:ascii="Arial" w:cs="Arial" w:eastAsia="Arial" w:hAnsi="Arial"/>
          <w:sz w:val="15"/>
          <w:szCs w:val="15"/>
          <w:color w:val="auto"/>
        </w:rPr>
      </w:pPr>
      <w:r>
        <w:rPr>
          <w:rFonts w:ascii="Arial" w:cs="Arial" w:eastAsia="Arial" w:hAnsi="Arial"/>
          <w:sz w:val="14"/>
          <w:szCs w:val="14"/>
          <w:color w:val="auto"/>
        </w:rPr>
        <w:t>1.$0.8 million of incremental, out-of-pocket costs related to COVID-19, including supplies, cleaning and sick pay. Beginning in July 2020, all corresponding COVID-19 related expenses were included in normalized costs.</w:t>
      </w:r>
    </w:p>
    <w:p>
      <w:pPr>
        <w:spacing w:after="0" w:line="79"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4"/>
          <w:szCs w:val="14"/>
          <w:color w:val="auto"/>
        </w:rPr>
        <w:t>2.$0.4 million of charges consisting of closure costs related to corrugated products facilities.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6" w:name="page17"/>
    <w:bookmarkEnd w:id="16"/>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Guarantees, Indemnifications and Legal Proceedings</w:t>
      </w:r>
    </w:p>
    <w:p>
      <w:pPr>
        <w:spacing w:after="0" w:line="126" w:lineRule="exact"/>
        <w:rPr>
          <w:sz w:val="20"/>
          <w:szCs w:val="20"/>
          <w:color w:val="auto"/>
        </w:rPr>
      </w:pPr>
    </w:p>
    <w:p>
      <w:pPr>
        <w:ind w:right="80" w:firstLine="510"/>
        <w:spacing w:after="0" w:line="273" w:lineRule="auto"/>
        <w:rPr>
          <w:sz w:val="20"/>
          <w:szCs w:val="20"/>
          <w:color w:val="auto"/>
        </w:rPr>
      </w:pPr>
      <w:r>
        <w:rPr>
          <w:rFonts w:ascii="Arial" w:cs="Arial" w:eastAsia="Arial" w:hAnsi="Arial"/>
          <w:sz w:val="16"/>
          <w:szCs w:val="16"/>
          <w:color w:val="auto"/>
        </w:rPr>
        <w:t>We have financial commitments and obligations that arise in the ordinary course of our business. These include long-term debt, capital commitments, lease obligations, and purchase commitments for goods and services, and legal proceedings, all of which are discussed in Note 10, Debt, and Note 20, Commitments, Guarantees, Indemnifications, and Legal Proceedings, of the Notes to Consolidated Financial Statements in "Part II, Item 8. Financial Statements and Supplementary Data" of our 2020 Annual Report on Form 10-K.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22" w:lineRule="exact"/>
        <w:rPr>
          <w:sz w:val="20"/>
          <w:szCs w:val="20"/>
          <w:color w:val="auto"/>
        </w:rPr>
      </w:pPr>
    </w:p>
    <w:p>
      <w:pPr>
        <w:ind w:right="80" w:firstLine="510"/>
        <w:spacing w:after="0" w:line="273" w:lineRule="auto"/>
        <w:rPr>
          <w:sz w:val="20"/>
          <w:szCs w:val="20"/>
          <w:color w:val="auto"/>
        </w:rPr>
      </w:pPr>
      <w:r>
        <w:rPr>
          <w:rFonts w:ascii="Arial" w:cs="Arial" w:eastAsia="Arial" w:hAnsi="Arial"/>
          <w:sz w:val="16"/>
          <w:szCs w:val="16"/>
          <w:color w:val="auto"/>
        </w:rPr>
        <w:t>We provide guarantees, indemnifications, and other assurances to third parties in the normal course of our business. These include tort indemnifications, product guarantees, environmental assurances, and representations and warranties in commercial agreements. At March 31, 2021, we are not aware of any material liabilities arising from any guarantee, indemnification, or financial assurance we have provided. If we determined such a liability was probable and subject to reasonable determination, we would accrue for it at that time.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DeRidder Mill Incident</w:t>
      </w:r>
    </w:p>
    <w:p>
      <w:pPr>
        <w:spacing w:after="0" w:line="122" w:lineRule="exact"/>
        <w:rPr>
          <w:sz w:val="20"/>
          <w:szCs w:val="20"/>
          <w:color w:val="auto"/>
        </w:rPr>
      </w:pPr>
    </w:p>
    <w:p>
      <w:pPr>
        <w:ind w:right="160" w:firstLine="510"/>
        <w:spacing w:after="0" w:line="318" w:lineRule="auto"/>
        <w:rPr>
          <w:sz w:val="20"/>
          <w:szCs w:val="20"/>
          <w:color w:val="auto"/>
        </w:rPr>
      </w:pPr>
      <w:r>
        <w:rPr>
          <w:rFonts w:ascii="Arial" w:cs="Arial" w:eastAsia="Arial" w:hAnsi="Arial"/>
          <w:sz w:val="14"/>
          <w:szCs w:val="14"/>
          <w:color w:val="auto"/>
        </w:rPr>
        <w:t>On February 8, 2017, a tank located in the pulp mill at the Company's DeRidder, Louisiana facility exploded, resulting in three contractor fatalities and other injuries. The Company has been served with multiple lawsuits involving the decedents and other allegedly injured parties, alleging negligence on the part of the Company and claiming compensatory and punitive damages. The Company is vigorously defending these lawsuits. The Company believes that these suits are covered by its liability insurance policies, subject to an aggregate $1.0 million deductible, which has been satisfied in full as a result of settlement of various lawsuits and fees and expenses incurred by the Company. All pending lawsuits are in the early stages. Accordingly, the Company is unable to estimate a range of reasonable possible losses at this time.</w:t>
      </w:r>
    </w:p>
    <w:p>
      <w:pPr>
        <w:spacing w:after="0" w:line="162"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The Company has cooperated with investigations from the U.S. Occupational Health and Safety Administration (OSHA), the U.S. Chemical Safety Board (CSB) and the U.S. Environmental Protection Agency (EPA). The U.S. Chemical Safety Board completed its investigation and issued its report during the second quarter of 2018. The Company settled with OSHA during the second quarter of 2018 and paid approximately $40,000 in penalties for citations.</w:t>
      </w:r>
    </w:p>
    <w:p>
      <w:pPr>
        <w:spacing w:after="0" w:line="184" w:lineRule="exact"/>
        <w:rPr>
          <w:sz w:val="20"/>
          <w:szCs w:val="20"/>
          <w:color w:val="auto"/>
        </w:rPr>
      </w:pPr>
    </w:p>
    <w:p>
      <w:pPr>
        <w:ind w:right="80" w:firstLine="510"/>
        <w:spacing w:after="0" w:line="293" w:lineRule="auto"/>
        <w:rPr>
          <w:sz w:val="20"/>
          <w:szCs w:val="20"/>
          <w:color w:val="auto"/>
        </w:rPr>
      </w:pPr>
      <w:r>
        <w:rPr>
          <w:rFonts w:ascii="Arial" w:cs="Arial" w:eastAsia="Arial" w:hAnsi="Arial"/>
          <w:sz w:val="15"/>
          <w:szCs w:val="15"/>
          <w:color w:val="auto"/>
        </w:rPr>
        <w:t>The EPA investigation is ongoing. In May 2017, the EPA conducted an on-site inspection of the facility to assess compliance with the Clean Air Act, Risk Management Program (RMP). The Company provided additional information to the EPA promptly after the inspection to address certain areas of concern (AOCs) observed during the inspection. In January 2021, the EPA and U.S. Department of Justice (DOJ) initiated civil judicial enforcement discussions with PCA. These discussions are ongoing. As of the date of filing of this report, no complaint has been filed. PCA continues to cooperate with the agencies. Since the inspection in 2017, PCA performed several voluntary activities to address the AOCs presented in the EPA’s inspection report and has removed the RMP covered process from the facility.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22" w:lineRule="exact"/>
        <w:rPr>
          <w:sz w:val="20"/>
          <w:szCs w:val="20"/>
          <w:color w:val="auto"/>
        </w:rPr>
      </w:pPr>
    </w:p>
    <w:p>
      <w:pPr>
        <w:ind w:right="20" w:firstLine="510"/>
        <w:spacing w:after="0" w:line="268" w:lineRule="auto"/>
        <w:rPr>
          <w:sz w:val="20"/>
          <w:szCs w:val="20"/>
          <w:color w:val="auto"/>
        </w:rPr>
      </w:pPr>
      <w:r>
        <w:rPr>
          <w:rFonts w:ascii="Arial" w:cs="Arial" w:eastAsia="Arial" w:hAnsi="Arial"/>
          <w:sz w:val="16"/>
          <w:szCs w:val="16"/>
          <w:color w:val="auto"/>
        </w:rPr>
        <w:t>On August 8, 2019, the EPA issued a notice of violation (NOV) alleging violations of the Clean Air Act, resulting from an inspection of our Wallula, Washington mill in September 2018. PCA denies the violations set forth in the NOV and has requested that the EPA’s Office of Air Quality Planning and Standards provide an applicability determination to clarify that the relevant operations of PCA have not violated the regulations at issue in the NOV. The EPA denied our request in 2020. We intend to vigorously defend any enforcement action and, on July 27, 2020, filed a petition with the EPA to reconsider its denial of our applicability determination and filed petitions in U.S. federal court to review the agency’s denial of our applicability determination as well as the rule at issue. While we cannot predict with certainty the ultimate resolution of this matter, we believe that we have a meritorious position that our operations have not violated the Clean Air Act, that we have taken appropriate action to address the matters raised by the EPA in the NOV, and that this matter will not result in a material adverse effect on our financial condition, results of operations, or cash flows.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2" w:lineRule="exact"/>
        <w:rPr>
          <w:sz w:val="20"/>
          <w:szCs w:val="20"/>
          <w:color w:val="auto"/>
        </w:rPr>
      </w:pPr>
    </w:p>
    <w:p>
      <w:pPr>
        <w:ind w:right="20" w:firstLine="510"/>
        <w:spacing w:after="0" w:line="305" w:lineRule="auto"/>
        <w:rPr>
          <w:sz w:val="20"/>
          <w:szCs w:val="20"/>
          <w:color w:val="auto"/>
        </w:rPr>
      </w:pPr>
      <w:r>
        <w:rPr>
          <w:rFonts w:ascii="Arial" w:cs="Arial" w:eastAsia="Arial" w:hAnsi="Arial"/>
          <w:sz w:val="15"/>
          <w:szCs w:val="15"/>
          <w:color w:val="auto"/>
        </w:rPr>
        <w:t>We are also a party to various legal actions arising in the ordinary course of our business. These legal actions include commercial liability claims, premises liability claims, and employment-related claims, among others. As of the date of this filing, we believe it is not reasonably possible that any of the legal actions against us will, either individually or in the aggregate,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7" w:name="page18"/>
    <w:bookmarkEnd w:id="17"/>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26"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This management’s discussion and analysis includes statements regarding our expectations with respect to our future performance, expected business conditions, liquidity, and capital resources. Such statements, along with any other statements that are not historical in nature, are forward-looking. These forward-looking statements are subject to numerous risks and uncertainties, including, but not limited to, the risks and uncertainties described in our 2020 Annual Report on Form 10-K, as well as those factors listed in other documents we file with the Securities and Exchange Commission (SEC). We do not assume any obligation to update any forward-looking statement. Our actual results may differ materially from those contained in or implied by any of the forward-looking statements in this Form 10-Q. Please see “Forward Looking Statements” elsewhere in this Item 2.</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right="20" w:firstLine="510"/>
        <w:spacing w:after="0" w:line="313" w:lineRule="auto"/>
        <w:rPr>
          <w:sz w:val="20"/>
          <w:szCs w:val="20"/>
          <w:color w:val="auto"/>
        </w:rPr>
      </w:pPr>
      <w:r>
        <w:rPr>
          <w:rFonts w:ascii="Arial" w:cs="Arial" w:eastAsia="Arial" w:hAnsi="Arial"/>
          <w:sz w:val="14"/>
          <w:szCs w:val="14"/>
          <w:color w:val="auto"/>
        </w:rPr>
        <w:t>PCA is the third largest producer of containerboard products and a leading producer of uncoated freesheet paper in North America. We operate eight mills and 90 corrugated products manufacturing plants. Our containerboard mills produce linerboard and corrugating medium, which are papers primarily used in the production of corrugated products. 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and honeycomb protective packaging. In addition, we are a large producer of packaging for meat, fresh fruit and vegetables, processed food, beverages, and other industrial and consumer products. We also manufacture and sell uncoated freesheet papers, including both commodity and specialty papers, which may have custom or specialized features such as colors, coatings, high brightness, and recycled content. We are headquartered in Lake Forest, Illinois and operate primarily in the United States.</w:t>
      </w:r>
    </w:p>
    <w:p>
      <w:pPr>
        <w:spacing w:after="0" w:line="164" w:lineRule="exact"/>
        <w:rPr>
          <w:sz w:val="20"/>
          <w:szCs w:val="20"/>
          <w:color w:val="auto"/>
        </w:rPr>
      </w:pPr>
    </w:p>
    <w:p>
      <w:pPr>
        <w:ind w:right="460" w:firstLine="510"/>
        <w:spacing w:after="0" w:line="293" w:lineRule="auto"/>
        <w:rPr>
          <w:sz w:val="20"/>
          <w:szCs w:val="20"/>
          <w:color w:val="auto"/>
        </w:rPr>
      </w:pPr>
      <w:r>
        <w:rPr>
          <w:rFonts w:ascii="Arial" w:cs="Arial" w:eastAsia="Arial" w:hAnsi="Arial"/>
          <w:sz w:val="16"/>
          <w:szCs w:val="16"/>
          <w:color w:val="auto"/>
        </w:rPr>
        <w:t>This Item 2 is intended to supplement, and should be read in conjunction with, “Management’s Discussion and Analysis of Financial Condition and Results of Operations” included in our 2020 Annual Report on Form 10-K.</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Executive Summary</w:t>
      </w:r>
    </w:p>
    <w:p>
      <w:pPr>
        <w:spacing w:after="0" w:line="153" w:lineRule="exact"/>
        <w:rPr>
          <w:sz w:val="20"/>
          <w:szCs w:val="20"/>
          <w:color w:val="auto"/>
        </w:rPr>
      </w:pPr>
    </w:p>
    <w:p>
      <w:pPr>
        <w:ind w:right="120" w:firstLine="510"/>
        <w:spacing w:after="0" w:line="267" w:lineRule="auto"/>
        <w:rPr>
          <w:sz w:val="20"/>
          <w:szCs w:val="20"/>
          <w:color w:val="auto"/>
        </w:rPr>
      </w:pPr>
      <w:r>
        <w:rPr>
          <w:rFonts w:ascii="Arial" w:cs="Arial" w:eastAsia="Arial" w:hAnsi="Arial"/>
          <w:sz w:val="16"/>
          <w:szCs w:val="16"/>
          <w:color w:val="auto"/>
        </w:rPr>
        <w:t>First quarter net sales were $1.81 billion in 2021 and $1.71 billion in 2020. We reported $167 million of net income, or $1.75 per diluted share, during the first quarter of 2021, compared to $142 million, or $1.49 per diluted share, during the same period in 2020. Net income included $2 million of expense for special items in the first quarter of 2021, compared to $1 million of expense for special items in 2020 (discussed below). Excluding special items, net income was $169 million, or $1.77 per diluted share, during the first quarter of 2021, compared to $143 million, or $1.50 per diluted share, in the first quarter of 2020. The increase in net income was driven primarily by higher volume and prices and mix in our Packaging segment, and lower annual outage expenses. These items were partially offset by lower volume and prices and mix in our Paper segment, higher operating costs, higher freight and logistics expenses, higher converting costs, and other expenses. For additional detail on special items included in reported GAAP results, as well as segment income (loss) excluding special items, earnings before non-operating pension income (expense), interest, income taxes, and depreciation, amortization, and depletion (EBITDA), and EBITDA excluding special items, see “Item 2. Reconciliations of Non-GAAP Financial Measures to Reported Amounts.”</w:t>
      </w:r>
    </w:p>
    <w:p>
      <w:pPr>
        <w:spacing w:after="0" w:line="196" w:lineRule="exact"/>
        <w:rPr>
          <w:sz w:val="20"/>
          <w:szCs w:val="20"/>
          <w:color w:val="auto"/>
        </w:rPr>
      </w:pPr>
    </w:p>
    <w:p>
      <w:pPr>
        <w:ind w:firstLine="510"/>
        <w:spacing w:after="0" w:line="287" w:lineRule="auto"/>
        <w:rPr>
          <w:sz w:val="20"/>
          <w:szCs w:val="20"/>
          <w:color w:val="auto"/>
        </w:rPr>
      </w:pPr>
      <w:r>
        <w:rPr>
          <w:rFonts w:ascii="Arial" w:cs="Arial" w:eastAsia="Arial" w:hAnsi="Arial"/>
          <w:sz w:val="15"/>
          <w:szCs w:val="15"/>
          <w:color w:val="auto"/>
        </w:rPr>
        <w:t>Packaging segment income from operations was $258 million in the first quarter of 2021, compared to $200 million in the first quarter of 2020. Packaging segment EBITDA excluding special items was $352 million in the first quarter of 2021 compared to $290 million in the first quarter of 2020. The increase in EBITDA excluding special items was due primarily to higher sales and production volumes, higher prices and mix, and lower annual outage costs, partially offset by higher operating and converting costs, higher freight and logistic expenses, and other costs. Demand for our Packaging products remained strong throughout the first quarter, and we increased our containerboard production over the prior year period by producing linerboard during the entire quarter on the No. 3 machine at our Jackson, Alabama mill. During the fourth quarter of 2020, in order to meet strong packaging demand and maintain appropriate inventory levels, we temporarily began producing linerboard on the machine. In the first quarter of 2021, we announced the discontinuation of production of uncoated freesheet paper grades on the machine and the permanent conversion of the machine to produce linerboard in a phased approach over the next three years. Before October 2020, operating results for the Jackson mill were included in the Paper segment. Beginning in October 2020, operating results for the Jackson mill are included in both the Packaging and Paper segments.</w:t>
      </w:r>
    </w:p>
    <w:p>
      <w:pPr>
        <w:spacing w:after="0" w:line="182" w:lineRule="exact"/>
        <w:rPr>
          <w:sz w:val="20"/>
          <w:szCs w:val="20"/>
          <w:color w:val="auto"/>
        </w:rPr>
      </w:pPr>
    </w:p>
    <w:p>
      <w:pPr>
        <w:ind w:right="240" w:firstLine="510"/>
        <w:spacing w:after="0" w:line="271" w:lineRule="auto"/>
        <w:rPr>
          <w:sz w:val="20"/>
          <w:szCs w:val="20"/>
          <w:color w:val="auto"/>
        </w:rPr>
      </w:pPr>
      <w:r>
        <w:rPr>
          <w:rFonts w:ascii="Arial" w:cs="Arial" w:eastAsia="Arial" w:hAnsi="Arial"/>
          <w:sz w:val="16"/>
          <w:szCs w:val="16"/>
          <w:color w:val="auto"/>
        </w:rPr>
        <w:t>Paper segment income from operations was $9 million in the first quarter of 2021, compared to income of $33 million in the first quarter of 2020. Paper segment EBITDA excluding special items was $16 million in the first quarter of 2021, compared to $42 million in the first quarter of 2020. The decrease in EBITDA excluding special items was due to lower sales and production volumes, lower prices and mix, and higher freight and logistic expenses, partially offset by lower operating costs and lower annual outage expense. Sales were 24% lower than last year as demand has continued to be negatively affected by the COVID-19 pandemic and related closures of offices and schools.</w:t>
      </w:r>
    </w:p>
    <w:p>
      <w:pPr>
        <w:spacing w:after="0" w:line="190" w:lineRule="exact"/>
        <w:rPr>
          <w:sz w:val="20"/>
          <w:szCs w:val="20"/>
          <w:color w:val="auto"/>
        </w:rPr>
      </w:pPr>
    </w:p>
    <w:p>
      <w:pPr>
        <w:ind w:right="400" w:firstLine="510"/>
        <w:spacing w:after="0" w:line="273" w:lineRule="auto"/>
        <w:rPr>
          <w:sz w:val="20"/>
          <w:szCs w:val="20"/>
          <w:color w:val="auto"/>
        </w:rPr>
      </w:pPr>
      <w:r>
        <w:rPr>
          <w:rFonts w:ascii="Arial" w:cs="Arial" w:eastAsia="Arial" w:hAnsi="Arial"/>
          <w:sz w:val="16"/>
          <w:szCs w:val="16"/>
          <w:color w:val="auto"/>
        </w:rPr>
        <w:t>Demand for our corrugated products remains strong into the second quarter, and we continue to implement price increases that we previously announced to our packaging customers late in 2020 and earlier in 2021. We expect paper volumes to remain consistent with the first quarter and higher paper pricing as we realize price increases recently notified to our customers. We expect higher expenses in the second quarter than the first quarter relating to maintenance outages at our mills and continued inflation in freight and most of our other operating and converting costs.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6"/>
          <w:szCs w:val="16"/>
          <w:i w:val="1"/>
          <w:iCs w:val="1"/>
          <w:color w:val="auto"/>
        </w:rPr>
        <w:t>Special Items and Earnings per Diluted Share, Excluding Special Items</w:t>
      </w:r>
    </w:p>
    <w:p>
      <w:pPr>
        <w:spacing w:after="0" w:line="167"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A reconciliation of reported earnings per diluted share to earnings per diluted share, excluding special items, for the three months ended March 31, 2021 and 2020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000" w:type="dxa"/>
            <w:vAlign w:val="bottom"/>
            <w:tcBorders>
              <w:bottom w:val="single" w:sz="8" w:color="CFF0FC"/>
            </w:tcBorders>
          </w:tcPr>
          <w:p>
            <w:pPr>
              <w:spacing w:after="0"/>
              <w:rPr>
                <w:sz w:val="13"/>
                <w:szCs w:val="13"/>
                <w:color w:val="auto"/>
              </w:rPr>
            </w:pPr>
          </w:p>
        </w:tc>
        <w:tc>
          <w:tcPr>
            <w:tcW w:w="45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0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Earnings per diluted share, as reported</w:t>
            </w: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000" w:type="dxa"/>
            <w:vAlign w:val="bottom"/>
            <w:gridSpan w:val="2"/>
            <w:shd w:val="clear" w:color="auto" w:fill="CFF0FC"/>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FF0FC"/>
          </w:tcPr>
          <w:p>
            <w:pPr>
              <w:spacing w:after="0"/>
              <w:rPr>
                <w:sz w:val="19"/>
                <w:szCs w:val="19"/>
                <w:color w:val="auto"/>
              </w:rPr>
            </w:pPr>
          </w:p>
        </w:tc>
      </w:tr>
      <w:tr>
        <w:trPr>
          <w:trHeight w:val="227"/>
        </w:trPr>
        <w:tc>
          <w:tcPr>
            <w:tcW w:w="7520" w:type="dxa"/>
            <w:vAlign w:val="bottom"/>
            <w:gridSpan w:val="2"/>
          </w:tcPr>
          <w:p>
            <w:pPr>
              <w:spacing w:after="0"/>
              <w:rPr>
                <w:sz w:val="20"/>
                <w:szCs w:val="20"/>
                <w:color w:val="auto"/>
              </w:rPr>
            </w:pPr>
            <w:r>
              <w:rPr>
                <w:rFonts w:ascii="Arial" w:cs="Arial" w:eastAsia="Arial" w:hAnsi="Arial"/>
                <w:sz w:val="16"/>
                <w:szCs w:val="16"/>
                <w:color w:val="auto"/>
              </w:rPr>
              <w:t>Special items:</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Facilities closure and other costs (a)</w:t>
            </w:r>
          </w:p>
        </w:tc>
        <w:tc>
          <w:tcPr>
            <w:tcW w:w="10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6"/>
        </w:trPr>
        <w:tc>
          <w:tcPr>
            <w:tcW w:w="7520" w:type="dxa"/>
            <w:vAlign w:val="bottom"/>
            <w:gridSpan w:val="2"/>
          </w:tcPr>
          <w:p>
            <w:pPr>
              <w:ind w:left="260"/>
              <w:spacing w:after="0"/>
              <w:rPr>
                <w:sz w:val="20"/>
                <w:szCs w:val="20"/>
                <w:color w:val="auto"/>
              </w:rPr>
            </w:pPr>
            <w:r>
              <w:rPr>
                <w:rFonts w:ascii="Arial" w:cs="Arial" w:eastAsia="Arial" w:hAnsi="Arial"/>
                <w:sz w:val="16"/>
                <w:szCs w:val="16"/>
                <w:color w:val="auto"/>
              </w:rPr>
              <w:t>Jackson mill conversion (b)</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0.01</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75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Incremental costs for COVID-19 (c)</w:t>
            </w:r>
          </w:p>
        </w:tc>
        <w:tc>
          <w:tcPr>
            <w:tcW w:w="10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9"/>
                <w:szCs w:val="19"/>
                <w:color w:val="auto"/>
              </w:rPr>
            </w:pPr>
          </w:p>
        </w:tc>
      </w:tr>
      <w:tr>
        <w:trPr>
          <w:trHeight w:val="223"/>
        </w:trPr>
        <w:tc>
          <w:tcPr>
            <w:tcW w:w="75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Total special items</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2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FF0FC"/>
            </w:tcBorders>
          </w:tcPr>
          <w:p>
            <w:pPr>
              <w:spacing w:after="0"/>
              <w:rPr>
                <w:sz w:val="19"/>
                <w:szCs w:val="19"/>
                <w:color w:val="auto"/>
              </w:rPr>
            </w:pPr>
          </w:p>
        </w:tc>
      </w:tr>
      <w:tr>
        <w:trPr>
          <w:trHeight w:val="223"/>
        </w:trPr>
        <w:tc>
          <w:tcPr>
            <w:tcW w:w="7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Earnings per diluted share, excluding special items</w:t>
            </w: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1000" w:type="dxa"/>
            <w:vAlign w:val="bottom"/>
            <w:gridSpan w:val="2"/>
            <w:shd w:val="clear" w:color="auto" w:fill="CFF0FC"/>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FF0FC"/>
          </w:tcPr>
          <w:p>
            <w:pPr>
              <w:spacing w:after="0"/>
              <w:rPr>
                <w:sz w:val="19"/>
                <w:szCs w:val="19"/>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45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18"/>
        </w:trPr>
        <w:tc>
          <w:tcPr>
            <w:tcW w:w="3000" w:type="dxa"/>
            <w:vAlign w:val="bottom"/>
            <w:tcBorders>
              <w:bottom w:val="single" w:sz="8" w:color="auto"/>
            </w:tcBorders>
          </w:tcPr>
          <w:p>
            <w:pPr>
              <w:spacing w:after="0"/>
              <w:rPr>
                <w:sz w:val="10"/>
                <w:szCs w:val="10"/>
                <w:color w:val="auto"/>
              </w:rPr>
            </w:pPr>
          </w:p>
        </w:tc>
        <w:tc>
          <w:tcPr>
            <w:tcW w:w="4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31" w:lineRule="exact"/>
        <w:rPr>
          <w:sz w:val="20"/>
          <w:szCs w:val="20"/>
          <w:color w:val="auto"/>
        </w:rPr>
      </w:pPr>
    </w:p>
    <w:p>
      <w:pPr>
        <w:ind w:left="760" w:right="440" w:hanging="752"/>
        <w:spacing w:after="0" w:line="293"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three months ended March 31, 2021 and March 31, 2020, respectively, includes $2.1 million and $0.4 million of charges consisting of closure costs related to corrugated products facilities.</w:t>
      </w:r>
    </w:p>
    <w:p>
      <w:pPr>
        <w:spacing w:after="0" w:line="158" w:lineRule="exact"/>
        <w:rPr>
          <w:rFonts w:ascii="Arial" w:cs="Arial" w:eastAsia="Arial" w:hAnsi="Arial"/>
          <w:sz w:val="16"/>
          <w:szCs w:val="16"/>
          <w:color w:val="auto"/>
        </w:rPr>
      </w:pPr>
    </w:p>
    <w:p>
      <w:pPr>
        <w:ind w:left="760" w:right="80" w:hanging="752"/>
        <w:spacing w:after="0" w:line="278"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three months ended March 31, 2021, includes $1.1 million of charges related to the announced discontinuation of production of uncoated freesheet paper grades on the No. 3 machine at the Jackson, Alabama mill in the first quarter of 2021 associated with the permanent conversion of the machine to produce linerboard.</w:t>
      </w:r>
    </w:p>
    <w:p>
      <w:pPr>
        <w:spacing w:after="0" w:line="238" w:lineRule="exact"/>
        <w:rPr>
          <w:rFonts w:ascii="Arial" w:cs="Arial" w:eastAsia="Arial" w:hAnsi="Arial"/>
          <w:sz w:val="16"/>
          <w:szCs w:val="16"/>
          <w:color w:val="auto"/>
        </w:rPr>
      </w:pPr>
    </w:p>
    <w:p>
      <w:pPr>
        <w:ind w:left="760" w:hanging="752"/>
        <w:spacing w:after="0" w:line="293"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three months ended March 31, 2020 include $0.8 million of incremental, out-of-pocket costs related to COVID-19, including supplies, cleaning and sick pay. Beginning in July 2020, all corresponding COVID-19 related expenses were included in normalized costs.</w:t>
      </w:r>
    </w:p>
    <w:p>
      <w:pPr>
        <w:spacing w:after="0" w:line="212" w:lineRule="exact"/>
        <w:rPr>
          <w:sz w:val="20"/>
          <w:szCs w:val="20"/>
          <w:color w:val="auto"/>
        </w:rPr>
      </w:pPr>
    </w:p>
    <w:p>
      <w:pPr>
        <w:ind w:right="80" w:firstLine="510"/>
        <w:spacing w:after="0" w:line="287" w:lineRule="auto"/>
        <w:rPr>
          <w:sz w:val="20"/>
          <w:szCs w:val="20"/>
          <w:color w:val="auto"/>
        </w:rPr>
      </w:pPr>
      <w:r>
        <w:rPr>
          <w:rFonts w:ascii="Arial" w:cs="Arial" w:eastAsia="Arial" w:hAnsi="Arial"/>
          <w:sz w:val="15"/>
          <w:szCs w:val="15"/>
          <w:color w:val="auto"/>
        </w:rPr>
        <w:t>Included in this Item 2 are various non-GAAP financial measures, including diluted EPS excluding special items, segment income excluding special items and EBITDA excluding special items. Management excludes special items as it believes these items are not necessarily reflective of the ongoing results of operations of our business. We present these measures because they provide a means to evaluate the performance of our segments and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 performance of their segments. A reconciliation of diluted EPS to diluted EPS excluding special items is included above and the reconciliations of other non-GAAP measures used in this Management’s Discussion and Analysis of Financial Condition and Results of Operations, to the most comparable measure reported in accordance with GAAP, are included in Item 2 under “Reconciliations of Non-GAAP Financial Measures to Reported Amounts.” Any analysis of non-GAAP financial measures should be done in conjunction with results presented in accordance with GAAP. The non-GAAP measures are not intended to be substitutes for GAAP financial measures and should not be used as such.</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Industry and Business Conditions</w:t>
      </w:r>
    </w:p>
    <w:p>
      <w:pPr>
        <w:spacing w:after="0" w:line="166" w:lineRule="exact"/>
        <w:rPr>
          <w:sz w:val="20"/>
          <w:szCs w:val="20"/>
          <w:color w:val="auto"/>
        </w:rPr>
      </w:pPr>
    </w:p>
    <w:p>
      <w:pPr>
        <w:ind w:right="140" w:firstLine="510"/>
        <w:spacing w:after="0" w:line="293" w:lineRule="auto"/>
        <w:rPr>
          <w:sz w:val="20"/>
          <w:szCs w:val="20"/>
          <w:color w:val="auto"/>
        </w:rPr>
      </w:pPr>
      <w:r>
        <w:rPr>
          <w:rFonts w:ascii="Arial" w:cs="Arial" w:eastAsia="Arial" w:hAnsi="Arial"/>
          <w:sz w:val="15"/>
          <w:szCs w:val="15"/>
          <w:color w:val="auto"/>
        </w:rPr>
        <w:t>Trade publications reported North American industry-wide corrugated products shipments per work day were up 5.5% during the first quarter of 2021 compared to the same quarter of 2020. Reported industry containerboard production increased 2.1% compared to the first quarter of 2020. Reported industry containerboard inventories at the end of the first quarter of 2021 were approximately 2.3 million tons, down 9.9% compared to the same period in 2020. Reported containerboard export shipments were down 24.9% compared to the first quarter of 2020. Prices reported by trade publications increased by $20 per ton for linerboard and $30 per ton for corrugating medium in March 2021 and a further $40 per ton for linerboard and corrugating medium in April 2021.</w:t>
      </w:r>
    </w:p>
    <w:p>
      <w:pPr>
        <w:spacing w:after="0" w:line="176"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Trade publications reported North American uncoated freesheet paper shipments were down 19.6% in the first quarter of 2021, compared to the same quarter of 2020. Average prices reported by a trade publication for cut size office papers were higher by $7 per ton, or 0.6%, in the first quarter of 2021, compared to the fourth quarter of 2020, and lower by $28 per ton, or 2.5%, compared to the first quarter of 2020. Average prices reported by a trade publication for cut size office papers increased $20 per ton in March 2021 and a further $40 per ton in April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 w:name="page20"/>
    <w:bookmarkEnd w:id="19"/>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historical results of operations of PCA for the three months ended March 31, 2021 and 2020 are set forth below (dollars in millions):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w w:val="98"/>
              </w:rPr>
              <w:t>Three Months Ended</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Packaging</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1,623.6</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1,467.5</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Paper</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164.6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Intersegment eliminations</w:t>
            </w:r>
          </w:p>
        </w:tc>
        <w:tc>
          <w:tcPr>
            <w:tcW w:w="10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(36.4)</w:t>
            </w:r>
          </w:p>
        </w:tc>
        <w:tc>
          <w:tcPr>
            <w:tcW w:w="5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sales</w:t>
            </w: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1,807.2</w:t>
            </w:r>
          </w:p>
        </w:tc>
        <w:tc>
          <w:tcPr>
            <w:tcW w:w="3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1,708.7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Packaging</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257.9</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199.8</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Paper</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(28.3)</w:t>
            </w: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7"/>
        </w:trPr>
        <w:tc>
          <w:tcPr>
            <w:tcW w:w="5740" w:type="dxa"/>
            <w:vAlign w:val="bottom"/>
          </w:tcPr>
          <w:p>
            <w:pPr>
              <w:ind w:left="260"/>
              <w:spacing w:after="0"/>
              <w:rPr>
                <w:sz w:val="20"/>
                <w:szCs w:val="20"/>
                <w:color w:val="auto"/>
              </w:rPr>
            </w:pPr>
            <w:r>
              <w:rPr>
                <w:rFonts w:ascii="Arial" w:cs="Arial" w:eastAsia="Arial" w:hAnsi="Arial"/>
                <w:sz w:val="16"/>
                <w:szCs w:val="16"/>
                <w:color w:val="auto"/>
              </w:rPr>
              <w:t>Income from operations</w:t>
            </w:r>
          </w:p>
        </w:tc>
        <w:tc>
          <w:tcPr>
            <w:tcW w:w="1000" w:type="dxa"/>
            <w:vAlign w:val="bottom"/>
            <w:tcBorders>
              <w:top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238.3</w:t>
            </w:r>
          </w:p>
        </w:tc>
        <w:tc>
          <w:tcPr>
            <w:tcW w:w="300" w:type="dxa"/>
            <w:vAlign w:val="bottom"/>
          </w:tcPr>
          <w:p>
            <w:pPr>
              <w:spacing w:after="0"/>
              <w:rPr>
                <w:sz w:val="17"/>
                <w:szCs w:val="17"/>
                <w:color w:val="auto"/>
              </w:rPr>
            </w:pPr>
          </w:p>
        </w:tc>
        <w:tc>
          <w:tcPr>
            <w:tcW w:w="580" w:type="dxa"/>
            <w:vAlign w:val="bottom"/>
            <w:tcBorders>
              <w:top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Non-operating pension income</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Interest expense, net</w:t>
            </w:r>
          </w:p>
        </w:tc>
        <w:tc>
          <w:tcPr>
            <w:tcW w:w="10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(23.5)</w:t>
            </w:r>
          </w:p>
        </w:tc>
        <w:tc>
          <w:tcPr>
            <w:tcW w:w="5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before taxes</w:t>
            </w: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219.6</w:t>
            </w:r>
          </w:p>
        </w:tc>
        <w:tc>
          <w:tcPr>
            <w:tcW w:w="3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190.1</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Income tax provision</w:t>
            </w:r>
          </w:p>
        </w:tc>
        <w:tc>
          <w:tcPr>
            <w:tcW w:w="10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(53.1)</w:t>
            </w:r>
          </w:p>
        </w:tc>
        <w:tc>
          <w:tcPr>
            <w:tcW w:w="5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w:t>
            </w: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i w:val="1"/>
                <w:iCs w:val="1"/>
                <w:color w:val="auto"/>
              </w:rPr>
              <w:t>Non-GAAP Measures (a)</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Net income excluding special items</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Consolidated EBITDA</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339.1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Consolidated EBITDA excluding special items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341.8</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Packaging EBITDA</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350.0</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Packaging EBITDA excluding special items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352.1</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Paper EBITDA</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15.2</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Paper EBITDA excluding special items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9" w:lineRule="exact"/>
        <w:rPr>
          <w:sz w:val="20"/>
          <w:szCs w:val="20"/>
          <w:color w:val="auto"/>
        </w:rPr>
      </w:pPr>
    </w:p>
    <w:p>
      <w:pPr>
        <w:ind w:left="500" w:right="440" w:hanging="492"/>
        <w:spacing w:after="0" w:line="293"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“Reconciliations of Non-GAAP Financial Measures to Reported Amounts” included in this Item 2 for a reconciliation of non-GAAP measures to the most comparable GAAP measure.</w:t>
      </w:r>
    </w:p>
    <w:p>
      <w:pPr>
        <w:spacing w:after="0" w:line="167"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Net Sales</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Net sales increased $98 million, or 5.7%, to $1,807 million during the three months ended March 31, 2021, compared to $1,709 million during the same period in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2020.</w:t>
      </w:r>
    </w:p>
    <w:p>
      <w:pPr>
        <w:spacing w:after="0" w:line="231" w:lineRule="exact"/>
        <w:rPr>
          <w:sz w:val="20"/>
          <w:szCs w:val="20"/>
          <w:color w:val="auto"/>
        </w:rPr>
      </w:pPr>
    </w:p>
    <w:p>
      <w:pPr>
        <w:ind w:right="40" w:firstLine="510"/>
        <w:spacing w:after="0" w:line="271" w:lineRule="auto"/>
        <w:rPr>
          <w:sz w:val="20"/>
          <w:szCs w:val="20"/>
          <w:color w:val="auto"/>
        </w:rPr>
      </w:pPr>
      <w:r>
        <w:rPr>
          <w:rFonts w:ascii="Arial" w:cs="Arial" w:eastAsia="Arial" w:hAnsi="Arial"/>
          <w:sz w:val="16"/>
          <w:szCs w:val="16"/>
          <w:i w:val="1"/>
          <w:iCs w:val="1"/>
          <w:color w:val="auto"/>
        </w:rPr>
        <w:t xml:space="preserve">Packaging. </w:t>
      </w:r>
      <w:r>
        <w:rPr>
          <w:rFonts w:ascii="Arial" w:cs="Arial" w:eastAsia="Arial" w:hAnsi="Arial"/>
          <w:sz w:val="16"/>
          <w:szCs w:val="16"/>
          <w:color w:val="auto"/>
        </w:rPr>
        <w:t>Net sales increased $156 million, or 10.6%, to $1,624 million, compared to $1,468 million in the first quarter of 2020 due to higher containerboard and</w:t>
      </w:r>
      <w:r>
        <w:rPr>
          <w:rFonts w:ascii="Arial" w:cs="Arial" w:eastAsia="Arial" w:hAnsi="Arial"/>
          <w:sz w:val="16"/>
          <w:szCs w:val="16"/>
          <w:i w:val="1"/>
          <w:iCs w:val="1"/>
          <w:color w:val="auto"/>
        </w:rPr>
        <w:t xml:space="preserve"> </w:t>
      </w:r>
      <w:r>
        <w:rPr>
          <w:rFonts w:ascii="Arial" w:cs="Arial" w:eastAsia="Arial" w:hAnsi="Arial"/>
          <w:sz w:val="16"/>
          <w:szCs w:val="16"/>
          <w:color w:val="auto"/>
        </w:rPr>
        <w:t>corrugated products volume ($106 million) and higher prices and mix ($50 million). In the first quarter of 2021, our domestic containerboard prices were 3.4% higher, while export prices were 16.2% higher, than the same period in 2020. In the first quarter of 2021, export and domestic containerboard outside shipments increased 12.9% compared to the first quarter of 2020. Our total corrugated products shipments were up 6.6% with one less workday, and up 8.3% per day compared to the same period in 2020, driven by strong demand.</w:t>
      </w:r>
    </w:p>
    <w:p>
      <w:pPr>
        <w:spacing w:after="0" w:line="190" w:lineRule="exact"/>
        <w:rPr>
          <w:sz w:val="20"/>
          <w:szCs w:val="20"/>
          <w:color w:val="auto"/>
        </w:rPr>
      </w:pPr>
    </w:p>
    <w:p>
      <w:pPr>
        <w:ind w:right="80" w:firstLine="510"/>
        <w:spacing w:after="0" w:line="278" w:lineRule="auto"/>
        <w:rPr>
          <w:sz w:val="20"/>
          <w:szCs w:val="20"/>
          <w:color w:val="auto"/>
        </w:rPr>
      </w:pPr>
      <w:r>
        <w:rPr>
          <w:rFonts w:ascii="Arial" w:cs="Arial" w:eastAsia="Arial" w:hAnsi="Arial"/>
          <w:sz w:val="16"/>
          <w:szCs w:val="16"/>
          <w:i w:val="1"/>
          <w:iCs w:val="1"/>
          <w:color w:val="auto"/>
        </w:rPr>
        <w:t xml:space="preserve">Paper. </w:t>
      </w:r>
      <w:r>
        <w:rPr>
          <w:rFonts w:ascii="Arial" w:cs="Arial" w:eastAsia="Arial" w:hAnsi="Arial"/>
          <w:sz w:val="16"/>
          <w:szCs w:val="16"/>
          <w:color w:val="auto"/>
        </w:rPr>
        <w:t>Net sales during the three months ended March 31, 2021 decreased $53 million, or 24.2%, to $165 million, compared to $217 million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2020, due to decreased volume ($48 million) and lower prices and mix ($5 million), as demand has been harmed by the COVID-19 pandemic. In the fourth quarter of 2020, the Jackson mill No. 3 machine began producing linerboard to balance supply and demand.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Gross Profit</w:t>
      </w:r>
    </w:p>
    <w:p>
      <w:pPr>
        <w:spacing w:after="0" w:line="122" w:lineRule="exact"/>
        <w:rPr>
          <w:sz w:val="20"/>
          <w:szCs w:val="20"/>
          <w:color w:val="auto"/>
        </w:rPr>
      </w:pPr>
    </w:p>
    <w:p>
      <w:pPr>
        <w:ind w:right="240" w:firstLine="510"/>
        <w:spacing w:after="0" w:line="271" w:lineRule="auto"/>
        <w:rPr>
          <w:sz w:val="20"/>
          <w:szCs w:val="20"/>
          <w:color w:val="auto"/>
        </w:rPr>
      </w:pPr>
      <w:r>
        <w:rPr>
          <w:rFonts w:ascii="Arial" w:cs="Arial" w:eastAsia="Arial" w:hAnsi="Arial"/>
          <w:sz w:val="16"/>
          <w:szCs w:val="16"/>
          <w:color w:val="auto"/>
        </w:rPr>
        <w:t>Gross profit increased $39 million during the three months ended March 31, 2021, compared to the same period in 2020. The increase was driven primarily by higher volume and prices and mix in our Packaging segment, and lower annual outage expenses. These items were partially offset by lower volume and prices and mix in our Paper segment, higher operating costs, higher freight and logistics expenses, higher converting costs, and other expenses. In the three months ended March 31, 2021, gross profit included $0.5 million of special items for charges related to the Jackson mill conversion. In the three months ended March 31, 2020, gross profit included $1 million of special items for incremental, out-of-pocket costs related to COVID-19.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Selling, general, and administrative expenses (“SG&amp;A”) decreased $1 million during the three months ended March 31, 2021, compared to the same period in 2020.</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primarily due to lower travel and entertainment expenses partially offset by higher employee salaries and fringes and incentives.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expense, net, for the three months ended March 31, 2021 and 2020 are set forth below (dollars in millions):</w:t>
      </w: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300" w:type="dxa"/>
            <w:vAlign w:val="bottom"/>
            <w:gridSpan w:val="5"/>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FF0FC"/>
            </w:tcBorders>
          </w:tcPr>
          <w:p>
            <w:pPr>
              <w:spacing w:after="0"/>
              <w:rPr>
                <w:sz w:val="18"/>
                <w:szCs w:val="18"/>
                <w:color w:val="auto"/>
              </w:rPr>
            </w:pPr>
          </w:p>
        </w:tc>
        <w:tc>
          <w:tcPr>
            <w:tcW w:w="204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Asset disposals and write-offs</w:t>
            </w:r>
          </w:p>
        </w:tc>
        <w:tc>
          <w:tcPr>
            <w:tcW w:w="2840" w:type="dxa"/>
            <w:vAlign w:val="bottom"/>
            <w:gridSpan w:val="2"/>
            <w:shd w:val="clear" w:color="auto" w:fill="CFF0FC"/>
          </w:tcPr>
          <w:p>
            <w:pPr>
              <w:jc w:val="right"/>
              <w:ind w:right="668"/>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(14.7)</w:t>
            </w:r>
          </w:p>
        </w:tc>
        <w:tc>
          <w:tcPr>
            <w:tcW w:w="940" w:type="dxa"/>
            <w:vAlign w:val="bottom"/>
            <w:gridSpan w:val="2"/>
            <w:shd w:val="clear" w:color="auto" w:fill="CFF0FC"/>
          </w:tcPr>
          <w:p>
            <w:pPr>
              <w:jc w:val="right"/>
              <w:ind w:right="688"/>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Facilities closure and other costs</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Jackson mill conversion</w:t>
            </w:r>
          </w:p>
        </w:tc>
        <w:tc>
          <w:tcPr>
            <w:tcW w:w="2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Other</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w:t>
            </w:r>
          </w:p>
        </w:tc>
        <w:tc>
          <w:tcPr>
            <w:tcW w:w="20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vMerge w:val="continue"/>
            <w:shd w:val="clear" w:color="auto" w:fill="CFF0FC"/>
          </w:tcPr>
          <w:p>
            <w:pPr>
              <w:spacing w:after="0"/>
              <w:rPr>
                <w:sz w:val="18"/>
                <w:szCs w:val="18"/>
                <w:color w:val="auto"/>
              </w:rPr>
            </w:pPr>
          </w:p>
        </w:tc>
        <w:tc>
          <w:tcPr>
            <w:tcW w:w="2840" w:type="dxa"/>
            <w:vAlign w:val="bottom"/>
            <w:gridSpan w:val="2"/>
            <w:shd w:val="clear" w:color="auto" w:fill="CFF0FC"/>
          </w:tcPr>
          <w:p>
            <w:pPr>
              <w:jc w:val="right"/>
              <w:ind w:right="668"/>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(20.4)</w:t>
            </w:r>
          </w:p>
        </w:tc>
        <w:tc>
          <w:tcPr>
            <w:tcW w:w="940" w:type="dxa"/>
            <w:vAlign w:val="bottom"/>
            <w:gridSpan w:val="2"/>
            <w:shd w:val="clear" w:color="auto" w:fill="CFF0FC"/>
          </w:tcPr>
          <w:p>
            <w:pPr>
              <w:jc w:val="right"/>
              <w:ind w:right="688"/>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discuss these items in more detail in Note 5, Other Expense, Net, of the Condensed Notes to Unaudited Quarterly Consolidated Financial Statements in “Part I, Item 1. Financial Statements” of this Form 10-Q.</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22" w:lineRule="exact"/>
        <w:rPr>
          <w:sz w:val="20"/>
          <w:szCs w:val="20"/>
          <w:color w:val="auto"/>
        </w:rPr>
      </w:pPr>
    </w:p>
    <w:p>
      <w:pPr>
        <w:jc w:val="both"/>
        <w:ind w:right="100" w:firstLine="510"/>
        <w:spacing w:after="0" w:line="305" w:lineRule="auto"/>
        <w:rPr>
          <w:sz w:val="20"/>
          <w:szCs w:val="20"/>
          <w:color w:val="auto"/>
        </w:rPr>
      </w:pPr>
      <w:r>
        <w:rPr>
          <w:rFonts w:ascii="Arial" w:cs="Arial" w:eastAsia="Arial" w:hAnsi="Arial"/>
          <w:sz w:val="15"/>
          <w:szCs w:val="15"/>
          <w:color w:val="auto"/>
        </w:rPr>
        <w:t>Income from operations increased $29 million, or 13.9%, during the three months ended March 31, 2021, compared to the same period in 2020. The first quarter of 2021 included $3 million of special items expense related to corrugated facility closure costs and the Jackson mill conversion from uncoated freesheet paper to linerboard, compared to $1 million of special items expense for incremental, out-of-pocket costs related to COVID-19 in the first quarter of 2020.</w:t>
      </w:r>
    </w:p>
    <w:p>
      <w:pPr>
        <w:spacing w:after="0" w:line="166" w:lineRule="exact"/>
        <w:rPr>
          <w:sz w:val="20"/>
          <w:szCs w:val="20"/>
          <w:color w:val="auto"/>
        </w:rPr>
      </w:pPr>
    </w:p>
    <w:p>
      <w:pPr>
        <w:jc w:val="both"/>
        <w:ind w:right="60" w:firstLine="510"/>
        <w:spacing w:after="0" w:line="293" w:lineRule="auto"/>
        <w:rPr>
          <w:sz w:val="20"/>
          <w:szCs w:val="20"/>
          <w:color w:val="auto"/>
        </w:rPr>
      </w:pPr>
      <w:r>
        <w:rPr>
          <w:rFonts w:ascii="Arial" w:cs="Arial" w:eastAsia="Arial" w:hAnsi="Arial"/>
          <w:sz w:val="15"/>
          <w:szCs w:val="15"/>
          <w:i w:val="1"/>
          <w:iCs w:val="1"/>
          <w:color w:val="auto"/>
        </w:rPr>
        <w:t xml:space="preserve">Packaging. </w:t>
      </w:r>
      <w:r>
        <w:rPr>
          <w:rFonts w:ascii="Arial" w:cs="Arial" w:eastAsia="Arial" w:hAnsi="Arial"/>
          <w:sz w:val="15"/>
          <w:szCs w:val="15"/>
          <w:color w:val="auto"/>
        </w:rPr>
        <w:t>Packaging segment income from operations increased $58 million to $258 million, compared to $200 million during the three months ended March 31,</w:t>
      </w:r>
      <w:r>
        <w:rPr>
          <w:rFonts w:ascii="Arial" w:cs="Arial" w:eastAsia="Arial" w:hAnsi="Arial"/>
          <w:sz w:val="15"/>
          <w:szCs w:val="15"/>
          <w:i w:val="1"/>
          <w:iCs w:val="1"/>
          <w:color w:val="auto"/>
        </w:rPr>
        <w:t xml:space="preserve"> </w:t>
      </w:r>
      <w:r>
        <w:rPr>
          <w:rFonts w:ascii="Arial" w:cs="Arial" w:eastAsia="Arial" w:hAnsi="Arial"/>
          <w:sz w:val="15"/>
          <w:szCs w:val="15"/>
          <w:color w:val="auto"/>
        </w:rPr>
        <w:t>2020. The increase related primarily to higher sales and production volumes ($57 million), higher containerboard and corrugated products prices and mix ($42 million) and lower annual outage expense ($10 million), partially offset by higher operating and converting costs ($36 million), higher freight expenses ($9 million), higher depreciation expense ($3 million), and other costs. Special items during the first quarter of 2021 included $2 million of expenses related to corrugated facility closure costs, compared to $1 million of special items expense for incremental, out-of-pocket costs related to COVID-19 in the first quarter of 2020.</w:t>
      </w:r>
    </w:p>
    <w:p>
      <w:pPr>
        <w:spacing w:after="0" w:line="176" w:lineRule="exact"/>
        <w:rPr>
          <w:sz w:val="20"/>
          <w:szCs w:val="20"/>
          <w:color w:val="auto"/>
        </w:rPr>
      </w:pPr>
    </w:p>
    <w:p>
      <w:pPr>
        <w:ind w:right="100" w:firstLine="510"/>
        <w:spacing w:after="0" w:line="324" w:lineRule="auto"/>
        <w:rPr>
          <w:sz w:val="20"/>
          <w:szCs w:val="20"/>
          <w:color w:val="auto"/>
        </w:rPr>
      </w:pPr>
      <w:r>
        <w:rPr>
          <w:rFonts w:ascii="Arial" w:cs="Arial" w:eastAsia="Arial" w:hAnsi="Arial"/>
          <w:sz w:val="14"/>
          <w:szCs w:val="14"/>
          <w:i w:val="1"/>
          <w:iCs w:val="1"/>
          <w:color w:val="auto"/>
        </w:rPr>
        <w:t xml:space="preserve">Paper. </w:t>
      </w:r>
      <w:r>
        <w:rPr>
          <w:rFonts w:ascii="Arial" w:cs="Arial" w:eastAsia="Arial" w:hAnsi="Arial"/>
          <w:sz w:val="14"/>
          <w:szCs w:val="14"/>
          <w:color w:val="auto"/>
        </w:rPr>
        <w:t>Paper segment income from operations decreased $24 million to $9 million, compared to income of $33 million during the three months ended March 31,</w:t>
      </w:r>
      <w:r>
        <w:rPr>
          <w:rFonts w:ascii="Arial" w:cs="Arial" w:eastAsia="Arial" w:hAnsi="Arial"/>
          <w:sz w:val="14"/>
          <w:szCs w:val="14"/>
          <w:i w:val="1"/>
          <w:iCs w:val="1"/>
          <w:color w:val="auto"/>
        </w:rPr>
        <w:t xml:space="preserve"> </w:t>
      </w:r>
      <w:r>
        <w:rPr>
          <w:rFonts w:ascii="Arial" w:cs="Arial" w:eastAsia="Arial" w:hAnsi="Arial"/>
          <w:sz w:val="14"/>
          <w:szCs w:val="14"/>
          <w:color w:val="auto"/>
        </w:rPr>
        <w:t>2020. The decrease primarily related to lower sales and production volumes ($36 million), lower prices and mix ($4 million), and higher freight expenses ($7 million), partially offset by lower operating costs ($19 million), lower annual outage expense ($5 million), and other costs. Special items during the first quarter of 2021 included $1 million of expenses related to the Jackson mill conversion from uncoated freesheet paper to linerboard, compared to no special items in the first quarter of 2020.</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Non-Operating Pension Income, Interest Expense, Net and Income Taxes</w:t>
      </w:r>
    </w:p>
    <w:p>
      <w:pPr>
        <w:spacing w:after="0" w:line="122" w:lineRule="exact"/>
        <w:rPr>
          <w:sz w:val="20"/>
          <w:szCs w:val="20"/>
          <w:color w:val="auto"/>
        </w:rPr>
      </w:pPr>
    </w:p>
    <w:p>
      <w:pPr>
        <w:ind w:right="340" w:firstLine="510"/>
        <w:spacing w:after="0" w:line="293" w:lineRule="auto"/>
        <w:rPr>
          <w:sz w:val="20"/>
          <w:szCs w:val="20"/>
          <w:color w:val="auto"/>
        </w:rPr>
      </w:pPr>
      <w:r>
        <w:rPr>
          <w:rFonts w:ascii="Arial" w:cs="Arial" w:eastAsia="Arial" w:hAnsi="Arial"/>
          <w:sz w:val="16"/>
          <w:szCs w:val="16"/>
          <w:color w:val="auto"/>
        </w:rPr>
        <w:t>Non-operating pension income increased $4 million during the three months ended March 31, 2021, compared to the same period in 2020. The increase in non-operating pension income was primarily related to the favorable 2020 asset performance.</w:t>
      </w:r>
    </w:p>
    <w:p>
      <w:pPr>
        <w:spacing w:after="0" w:line="199"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Interest expense, net increased $4 million during the three months ended March 31, 2021, compared to the same period in 2020. The increase in interest expense, net was primarily related to lower interest income due to lower rates on invested cash balances in the first quarter of 2021, and higher earnings on deferred compensation balances in the first quarter of 2021.</w:t>
      </w:r>
    </w:p>
    <w:p>
      <w:pPr>
        <w:spacing w:after="0" w:line="225"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During the three months ended March 31, 2021, we recorded $53 million of income tax expense, compared to $48 million of expense during the three months ended March 31, 2020. The effective tax rate for the three months ended March 31, 2021 and 2020 was 24.2% and 25.5%, respectively. The decrease in our effective tax rate was primarily due to a favorable state law change during the three months ended March 31, 2021 with no corresponding favorable state law change during the three months ended March 31,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22" w:lineRule="exact"/>
        <w:rPr>
          <w:sz w:val="20"/>
          <w:szCs w:val="20"/>
          <w:color w:val="auto"/>
        </w:rPr>
      </w:pPr>
    </w:p>
    <w:p>
      <w:pPr>
        <w:ind w:right="80" w:firstLine="510"/>
        <w:spacing w:after="0" w:line="289" w:lineRule="auto"/>
        <w:rPr>
          <w:sz w:val="20"/>
          <w:szCs w:val="20"/>
          <w:color w:val="auto"/>
        </w:rPr>
      </w:pPr>
      <w:r>
        <w:rPr>
          <w:rFonts w:ascii="Arial" w:cs="Arial" w:eastAsia="Arial" w:hAnsi="Arial"/>
          <w:sz w:val="15"/>
          <w:szCs w:val="15"/>
          <w:color w:val="auto"/>
        </w:rPr>
        <w:t>Our primary sources of liquidity are net cash provided by operating activities, cash on hand, and available borrowing capacity under our revolving credit facility. At March 31, 2021, we had $983 million of cash and cash equivalents, $150 million of marketable debt securities, and $325 million of unused borrowing capacity under the revolving credit facility, net of letters of credit. Currently, our primary uses of cash are for operations, capital expenditures, common stock dividends, debt service, acquisitions, and repurchases of common stock. We believe that net cash generated from operating activities, cash on hand, available borrowings under our revolving credit facility, and available capital through access to capital markets will be adequate to meet our liquidity and capital requirements, including payments of any declared common stock dividends, for the foreseeable future. As our debt or credit facilities become due, we will need to repay, refinance, extend, or replace such debt or credit facilities. Our ability to do so will be subject to future economic conditions and financial, business, and other factors, many of which are beyond our control.</w:t>
      </w:r>
    </w:p>
    <w:p>
      <w:pPr>
        <w:spacing w:after="0" w:line="220"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Below is a summary table of our cash flows, followed by a discussion of our sources and uses of cash through operating activities, investing activities, and financing activities (dollars in millions):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for):</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Operating activities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Investing activities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Financing activities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8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7"/>
        </w:trPr>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191.6</w:t>
            </w:r>
          </w:p>
        </w:tc>
        <w:tc>
          <w:tcPr>
            <w:tcW w:w="140" w:type="dxa"/>
            <w:vAlign w:val="bottom"/>
          </w:tcPr>
          <w:p>
            <w:pPr>
              <w:spacing w:after="0"/>
              <w:rPr>
                <w:sz w:val="24"/>
                <w:szCs w:val="24"/>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236.7</w:t>
            </w:r>
          </w:p>
        </w:tc>
        <w:tc>
          <w:tcPr>
            <w:tcW w:w="24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(77.0)</w:t>
            </w: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(75.2)</w:t>
            </w:r>
          </w:p>
        </w:tc>
        <w:tc>
          <w:tcPr>
            <w:tcW w:w="2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84.5</w:t>
            </w:r>
          </w:p>
        </w:tc>
        <w:tc>
          <w:tcPr>
            <w:tcW w:w="24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-770890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-471170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-179070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580"/>
          </w:cols>
          <w:pgMar w:left="320" w:top="756" w:right="339" w:bottom="1440" w:gutter="0" w:footer="0" w:header="0"/>
          <w:type w:val="continuous"/>
        </w:sectPr>
      </w:pP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2"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Our operating cash flow is primarily driven by our earnings and changes in operating assets and liabilities, such as accounts receivable, inventories, accounts payable and other accrued liabilities, as well as factors described below. Cash requirements for operating activities are subject to PCA’s operating needs and the timing of collection of receivables and payments of payables and expenses.</w:t>
      </w:r>
    </w:p>
    <w:p>
      <w:pPr>
        <w:spacing w:after="0" w:line="184" w:lineRule="exact"/>
        <w:rPr>
          <w:sz w:val="20"/>
          <w:szCs w:val="20"/>
          <w:color w:val="auto"/>
        </w:rPr>
      </w:pPr>
    </w:p>
    <w:p>
      <w:pPr>
        <w:jc w:val="both"/>
        <w:ind w:right="80" w:firstLine="510"/>
        <w:spacing w:after="0" w:line="305" w:lineRule="auto"/>
        <w:rPr>
          <w:sz w:val="20"/>
          <w:szCs w:val="20"/>
          <w:color w:val="auto"/>
        </w:rPr>
      </w:pPr>
      <w:r>
        <w:rPr>
          <w:rFonts w:ascii="Arial" w:cs="Arial" w:eastAsia="Arial" w:hAnsi="Arial"/>
          <w:sz w:val="15"/>
          <w:szCs w:val="15"/>
          <w:color w:val="auto"/>
        </w:rPr>
        <w:t>During the three months ended March 31, 2021, net cash provided by operating activities was $192 million, compared to $237 million in the same period in 2020, a decrease of $45 million. Cash from operations excluding changes in cash used for operating assets and liabilities increased $26 million primarily due to higher income from operations as discussed above. Cash decreased by $71 million due to changes in operating assets and liabilities, primarily due to the following:</w:t>
      </w:r>
    </w:p>
    <w:p>
      <w:pPr>
        <w:spacing w:after="0" w:line="166" w:lineRule="exact"/>
        <w:rPr>
          <w:sz w:val="20"/>
          <w:szCs w:val="20"/>
          <w:color w:val="auto"/>
        </w:rPr>
      </w:pPr>
    </w:p>
    <w:p>
      <w:pPr>
        <w:ind w:left="1260" w:right="240" w:hanging="375"/>
        <w:spacing w:after="0" w:line="266" w:lineRule="auto"/>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larger increase in accounts receivable due to sales volumes in the first quarter of 2021 in both the Packaging and Paper segments as well as timing of collection of receivables in the Paper segment, and</w:t>
      </w:r>
    </w:p>
    <w:p>
      <w:pPr>
        <w:spacing w:after="0" w:line="1" w:lineRule="exact"/>
        <w:rPr>
          <w:rFonts w:ascii="Arial" w:cs="Arial" w:eastAsia="Arial" w:hAnsi="Arial"/>
          <w:sz w:val="16"/>
          <w:szCs w:val="16"/>
          <w:color w:val="auto"/>
        </w:rPr>
      </w:pPr>
    </w:p>
    <w:p>
      <w:pPr>
        <w:ind w:left="1260" w:right="440" w:hanging="375"/>
        <w:spacing w:after="0" w:line="288" w:lineRule="auto"/>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decrease in accounts payable in 2021 compared to 2020 primarily due to the timing of payments as well as lower expenditures in connection with annual maintenance outages performed in the first quarter of 2021 compared to 2020.</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2" w:lineRule="exact"/>
        <w:rPr>
          <w:sz w:val="20"/>
          <w:szCs w:val="20"/>
          <w:color w:val="auto"/>
        </w:rPr>
      </w:pPr>
    </w:p>
    <w:p>
      <w:pPr>
        <w:ind w:right="160" w:firstLine="510"/>
        <w:spacing w:after="0" w:line="328" w:lineRule="auto"/>
        <w:rPr>
          <w:sz w:val="20"/>
          <w:szCs w:val="20"/>
          <w:color w:val="auto"/>
        </w:rPr>
      </w:pPr>
      <w:r>
        <w:rPr>
          <w:rFonts w:ascii="Arial" w:cs="Arial" w:eastAsia="Arial" w:hAnsi="Arial"/>
          <w:sz w:val="15"/>
          <w:szCs w:val="15"/>
          <w:color w:val="auto"/>
        </w:rPr>
        <w:t>We used $88 million for investing activities during the three months ended March 31, 2021 compared to $77 million during the same period in 2020. We spent $85 million for internal capital investments during the three months ended March 31, 2021, compared to $71 million during the same period in 2020.</w:t>
      </w:r>
    </w:p>
    <w:p>
      <w:pPr>
        <w:spacing w:after="0" w:line="190" w:lineRule="exact"/>
        <w:rPr>
          <w:sz w:val="20"/>
          <w:szCs w:val="20"/>
          <w:color w:val="auto"/>
        </w:rPr>
      </w:pPr>
    </w:p>
    <w:p>
      <w:pPr>
        <w:ind w:right="40" w:firstLine="510"/>
        <w:spacing w:after="0" w:line="291" w:lineRule="auto"/>
        <w:rPr>
          <w:sz w:val="20"/>
          <w:szCs w:val="20"/>
          <w:color w:val="auto"/>
        </w:rPr>
      </w:pPr>
      <w:r>
        <w:rPr>
          <w:rFonts w:ascii="Arial" w:cs="Arial" w:eastAsia="Arial" w:hAnsi="Arial"/>
          <w:sz w:val="15"/>
          <w:szCs w:val="15"/>
          <w:color w:val="auto"/>
        </w:rPr>
        <w:t>We expect capital investments in 2021 to be between $650 million and $675 million, including capital spending related to the conversion of the No. 3 paper machine to containerboard at our Jackson mill. These expenditures could increase or decrease as a result of a number of factors, including our financial results, strategic opportunities, future economic conditions, and our regulatory compliance requirements. We currently estimate capital expenditures to comply with environmental regulations will be about $20 million in 2021. Our estimated environmental expenditures could vary significantly depending upon the enactment of new environmental laws and regulations, including those related to greenhouse gas emissions and industrial boilers. For additional information, see “Environmental Matters” in “Part II, Item 7. Management’s Discussion and Analysis of Financial Condition and Results of Operations” of our 2020 Annual Report on Form 10-K.</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2" w:lineRule="exact"/>
        <w:rPr>
          <w:sz w:val="20"/>
          <w:szCs w:val="20"/>
          <w:color w:val="auto"/>
        </w:rPr>
      </w:pPr>
    </w:p>
    <w:p>
      <w:pPr>
        <w:ind w:right="160" w:firstLine="510"/>
        <w:spacing w:after="0" w:line="328" w:lineRule="auto"/>
        <w:rPr>
          <w:sz w:val="20"/>
          <w:szCs w:val="20"/>
          <w:color w:val="auto"/>
        </w:rPr>
      </w:pPr>
      <w:r>
        <w:rPr>
          <w:rFonts w:ascii="Arial" w:cs="Arial" w:eastAsia="Arial" w:hAnsi="Arial"/>
          <w:sz w:val="15"/>
          <w:szCs w:val="15"/>
          <w:color w:val="auto"/>
        </w:rPr>
        <w:t>During the three months ended March 31, 2021, net cash used for financing activities was $95 million, compared to $75 million during the same period in 2020. In the first three months of 2021, we paid $95 million of dividends compared with $75 million of dividends paid during the first three months of 2020.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22" w:name="page23"/>
    <w:bookmarkEnd w:id="22"/>
    <w:p>
      <w:pPr>
        <w:ind w:right="880" w:firstLine="510"/>
        <w:spacing w:after="0" w:line="293" w:lineRule="auto"/>
        <w:rPr>
          <w:sz w:val="20"/>
          <w:szCs w:val="20"/>
          <w:color w:val="auto"/>
        </w:rPr>
      </w:pPr>
      <w:r>
        <w:rPr>
          <w:rFonts w:ascii="Arial" w:cs="Arial" w:eastAsia="Arial" w:hAnsi="Arial"/>
          <w:sz w:val="16"/>
          <w:szCs w:val="16"/>
          <w:color w:val="auto"/>
        </w:rPr>
        <w:t>For more information about our debt, see Note 10, Debt, of the Notes to Consolidated Financial Statements in “Part II, Item 8. Financial Statements and Supplementary Data” of our 2020 Annual Report on Form 10-K.</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126"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There have been no material changes to the contractual obligations table disclosed in Item 7. “Management’s Discussion and Analysis of Financial Condition and Results of Operations” of our 2020 Annual Report on Form 10-K.</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Reconciliations of Non-GAAP Financial Measures to Reported Amounts</w:t>
      </w:r>
    </w:p>
    <w:p>
      <w:pPr>
        <w:spacing w:after="0" w:line="126" w:lineRule="exact"/>
        <w:rPr>
          <w:sz w:val="20"/>
          <w:szCs w:val="20"/>
          <w:color w:val="auto"/>
        </w:rPr>
      </w:pPr>
    </w:p>
    <w:p>
      <w:pPr>
        <w:ind w:right="120" w:firstLine="510"/>
        <w:spacing w:after="0" w:line="268" w:lineRule="auto"/>
        <w:rPr>
          <w:sz w:val="20"/>
          <w:szCs w:val="20"/>
          <w:color w:val="auto"/>
        </w:rPr>
      </w:pPr>
      <w:r>
        <w:rPr>
          <w:rFonts w:ascii="Arial" w:cs="Arial" w:eastAsia="Arial" w:hAnsi="Arial"/>
          <w:sz w:val="16"/>
          <w:szCs w:val="16"/>
          <w:color w:val="auto"/>
        </w:rPr>
        <w:t>Income from operations excluding special items, net income excluding special items, EBITDA, and EBITDA excluding special items are non-GAAP financial measures. Management excludes special items, as it believes that these items are not necessarily reflective of the ongoing operations of our business. These measures are presented because they provide a means to evaluate the performance of our segments and our Company on an ongoing basis using the same measures that are used by our management, because these measures assist in providing a meaningful comparison between periods and because these measures are frequently used by investors and other interested parties in the evaluation of companies and the performance of their segments. Any analysis of non-GAAP financial measures should be done in conjunction with results presented in accordance with GAAP. The non-GAAP measures are not intended to be substitutes for GAAP financial measures and should not be used as such. Reconciliations of the non-GAAP measures to the most comparable measure reported in accordance with GAAP for the three months ended March 31, 2021 and 2020 follow (dollars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9"/>
              </w:rPr>
              <w:t>Three Months Ended March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Income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before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before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Borders>
              <w:bottom w:val="single" w:sz="8" w:color="CFF0FC"/>
            </w:tcBorders>
          </w:tcPr>
          <w:p>
            <w:pPr>
              <w:spacing w:after="0"/>
              <w:rPr>
                <w:sz w:val="14"/>
                <w:szCs w:val="14"/>
                <w:color w:val="auto"/>
              </w:rPr>
            </w:pPr>
          </w:p>
        </w:tc>
        <w:tc>
          <w:tcPr>
            <w:tcW w:w="1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Taxes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Taxes</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Taxes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As reported in accordance with GAAP</w:t>
            </w:r>
          </w:p>
        </w:tc>
        <w:tc>
          <w:tcPr>
            <w:tcW w:w="126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190.1</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(48.4)</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Special items: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Facilities closure and other costs (a)</w:t>
            </w: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60"/>
              <w:spacing w:after="0"/>
              <w:rPr>
                <w:sz w:val="20"/>
                <w:szCs w:val="20"/>
                <w:color w:val="auto"/>
              </w:rPr>
            </w:pPr>
            <w:r>
              <w:rPr>
                <w:rFonts w:ascii="Arial" w:cs="Arial" w:eastAsia="Arial" w:hAnsi="Arial"/>
                <w:sz w:val="16"/>
                <w:szCs w:val="16"/>
                <w:color w:val="auto"/>
              </w:rPr>
              <w:t>Jackson mill conversion (b)</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Incremental costs for COVID-19 (c)</w:t>
            </w: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Total special items</w:t>
            </w: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Excluding special items</w:t>
            </w:r>
          </w:p>
        </w:tc>
        <w:tc>
          <w:tcPr>
            <w:tcW w:w="1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191.3</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(48.7)</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13"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charges consisting of closure costs related to corrugated products facilities.</w:t>
      </w:r>
    </w:p>
    <w:p>
      <w:pPr>
        <w:spacing w:after="0" w:line="207" w:lineRule="exact"/>
        <w:rPr>
          <w:rFonts w:ascii="Arial" w:cs="Arial" w:eastAsia="Arial" w:hAnsi="Arial"/>
          <w:sz w:val="16"/>
          <w:szCs w:val="16"/>
          <w:color w:val="auto"/>
        </w:rPr>
      </w:pPr>
    </w:p>
    <w:p>
      <w:pPr>
        <w:ind w:left="380" w:right="160" w:hanging="372"/>
        <w:spacing w:after="0" w:line="293"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charges related to the announced discontinuation of production of uncoated freesheet paper grades on the No. 3 machine at the Jackson, Alabama mill in the first quarter of 2021 associated with the permanent conversion of the machine to produce linerboard.</w:t>
      </w:r>
    </w:p>
    <w:p>
      <w:pPr>
        <w:spacing w:after="0" w:line="131" w:lineRule="exact"/>
        <w:rPr>
          <w:rFonts w:ascii="Arial" w:cs="Arial" w:eastAsia="Arial" w:hAnsi="Arial"/>
          <w:sz w:val="16"/>
          <w:szCs w:val="16"/>
          <w:color w:val="auto"/>
        </w:rPr>
      </w:pPr>
    </w:p>
    <w:p>
      <w:pPr>
        <w:ind w:left="380" w:right="20" w:hanging="372"/>
        <w:spacing w:after="0" w:line="293"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incremental, out-of-pocket costs related to COVID-19 including supplies, cleaning and sick pay. Beginning in July 2020, all corresponding COVID-19 related expenses were included in normalized costs.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EBITDA and EBITDA excluding special items for the periods indicated (dollars 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FF0FC"/>
          </w:tcPr>
          <w:p>
            <w:pPr>
              <w:spacing w:after="0"/>
              <w:rPr>
                <w:sz w:val="18"/>
                <w:szCs w:val="18"/>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Non-operating pension income</w:t>
            </w:r>
          </w:p>
        </w:tc>
        <w:tc>
          <w:tcPr>
            <w:tcW w:w="9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(4.8)</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(0.6)</w:t>
            </w: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Income tax provision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53.1</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amortization, and depletion</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100.8</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100" w:type="dxa"/>
            <w:vAlign w:val="bottom"/>
            <w:shd w:val="clear" w:color="auto" w:fill="CFF0FC"/>
          </w:tcPr>
          <w:p>
            <w:pPr>
              <w:spacing w:after="0"/>
              <w:rPr>
                <w:sz w:val="19"/>
                <w:szCs w:val="19"/>
                <w:color w:val="auto"/>
              </w:rPr>
            </w:pPr>
          </w:p>
        </w:tc>
      </w:tr>
      <w:tr>
        <w:trPr>
          <w:trHeight w:val="246"/>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EBITDA</w:t>
            </w: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w:t>
            </w:r>
          </w:p>
        </w:tc>
        <w:tc>
          <w:tcPr>
            <w:tcW w:w="26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w:t>
            </w:r>
          </w:p>
        </w:tc>
        <w:tc>
          <w:tcPr>
            <w:tcW w:w="100" w:type="dxa"/>
            <w:vAlign w:val="bottom"/>
            <w:tcBorders>
              <w:bottom w:val="single" w:sz="8" w:color="CFF0FC"/>
            </w:tcBorders>
          </w:tcPr>
          <w:p>
            <w:pPr>
              <w:spacing w:after="0"/>
              <w:rPr>
                <w:sz w:val="21"/>
                <w:szCs w:val="21"/>
                <w:color w:val="auto"/>
              </w:rPr>
            </w:pPr>
          </w:p>
        </w:tc>
      </w:tr>
      <w:tr>
        <w:trPr>
          <w:trHeight w:val="200"/>
        </w:trPr>
        <w:tc>
          <w:tcPr>
            <w:tcW w:w="77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Special items: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Facilities closure and other costs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Jackson mill conversion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Incremental costs for COVID-19</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FF0FC"/>
          </w:tcPr>
          <w:p>
            <w:pPr>
              <w:spacing w:after="0"/>
              <w:rPr>
                <w:sz w:val="19"/>
                <w:szCs w:val="19"/>
                <w:color w:val="auto"/>
              </w:rPr>
            </w:pPr>
          </w:p>
        </w:tc>
      </w:tr>
      <w:tr>
        <w:trPr>
          <w:trHeight w:val="206"/>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special items</w:t>
            </w:r>
          </w:p>
        </w:tc>
        <w:tc>
          <w:tcPr>
            <w:tcW w:w="9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FF0FC"/>
            </w:tcBorders>
          </w:tcPr>
          <w:p>
            <w:pPr>
              <w:spacing w:after="0"/>
              <w:rPr>
                <w:sz w:val="17"/>
                <w:szCs w:val="17"/>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EBITDA excluding special items</w:t>
            </w: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341.8</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6"/>
          <w:szCs w:val="16"/>
          <w:color w:val="auto"/>
        </w:rPr>
        <w:t>The following table reconciles segment income (loss) to EBITDA and EBITDA excluding special items for the periods indicated (dollars 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00" w:type="dxa"/>
            <w:vAlign w:val="bottom"/>
            <w:tcBorders>
              <w:bottom w:val="single" w:sz="8" w:color="CFF0FC"/>
            </w:tcBorders>
          </w:tcPr>
          <w:p>
            <w:pPr>
              <w:spacing w:after="0"/>
              <w:rPr>
                <w:sz w:val="13"/>
                <w:szCs w:val="13"/>
                <w:color w:val="auto"/>
              </w:rPr>
            </w:pPr>
          </w:p>
        </w:tc>
        <w:tc>
          <w:tcPr>
            <w:tcW w:w="25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Packaging</w:t>
            </w:r>
          </w:p>
        </w:tc>
        <w:tc>
          <w:tcPr>
            <w:tcW w:w="2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Segment income</w:t>
            </w:r>
          </w:p>
        </w:tc>
        <w:tc>
          <w:tcPr>
            <w:tcW w:w="3500" w:type="dxa"/>
            <w:vAlign w:val="bottom"/>
            <w:gridSpan w:val="2"/>
          </w:tcPr>
          <w:p>
            <w:pPr>
              <w:jc w:val="right"/>
              <w:ind w:right="825"/>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257.9</w:t>
            </w:r>
          </w:p>
        </w:tc>
        <w:tc>
          <w:tcPr>
            <w:tcW w:w="300" w:type="dxa"/>
            <w:vAlign w:val="bottom"/>
          </w:tcPr>
          <w:p>
            <w:pPr>
              <w:spacing w:after="0"/>
              <w:rPr>
                <w:sz w:val="18"/>
                <w:szCs w:val="18"/>
                <w:color w:val="auto"/>
              </w:rPr>
            </w:pP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8"/>
                <w:szCs w:val="18"/>
                <w:color w:val="auto"/>
              </w:rPr>
            </w:pPr>
          </w:p>
        </w:tc>
      </w:tr>
      <w:tr>
        <w:trPr>
          <w:trHeight w:val="21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amortization, and depletion</w:t>
            </w:r>
          </w:p>
        </w:tc>
        <w:tc>
          <w:tcPr>
            <w:tcW w:w="25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92.1</w:t>
            </w:r>
          </w:p>
        </w:tc>
        <w:tc>
          <w:tcPr>
            <w:tcW w:w="3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FF0FC"/>
          </w:tcPr>
          <w:p>
            <w:pPr>
              <w:spacing w:after="0"/>
              <w:rPr>
                <w:sz w:val="19"/>
                <w:szCs w:val="19"/>
                <w:color w:val="auto"/>
              </w:rPr>
            </w:pPr>
          </w:p>
        </w:tc>
      </w:tr>
      <w:tr>
        <w:trPr>
          <w:trHeight w:val="207"/>
        </w:trPr>
        <w:tc>
          <w:tcPr>
            <w:tcW w:w="5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EBITDA</w:t>
            </w:r>
          </w:p>
        </w:tc>
        <w:tc>
          <w:tcPr>
            <w:tcW w:w="252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30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w:t>
            </w:r>
          </w:p>
        </w:tc>
        <w:tc>
          <w:tcPr>
            <w:tcW w:w="100" w:type="dxa"/>
            <w:vAlign w:val="bottom"/>
            <w:tcBorders>
              <w:bottom w:val="single" w:sz="8" w:color="CFF0FC"/>
            </w:tcBorders>
          </w:tcPr>
          <w:p>
            <w:pPr>
              <w:spacing w:after="0"/>
              <w:rPr>
                <w:sz w:val="17"/>
                <w:szCs w:val="17"/>
                <w:color w:val="auto"/>
              </w:rPr>
            </w:pPr>
          </w:p>
        </w:tc>
      </w:tr>
      <w:tr>
        <w:trPr>
          <w:trHeight w:val="213"/>
        </w:trPr>
        <w:tc>
          <w:tcPr>
            <w:tcW w:w="52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Facilities closure and other costs</w:t>
            </w:r>
          </w:p>
        </w:tc>
        <w:tc>
          <w:tcPr>
            <w:tcW w:w="2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FF0FC"/>
          </w:tcPr>
          <w:p>
            <w:pPr>
              <w:spacing w:after="0"/>
              <w:rPr>
                <w:sz w:val="18"/>
                <w:szCs w:val="18"/>
                <w:color w:val="auto"/>
              </w:rPr>
            </w:pPr>
          </w:p>
        </w:tc>
      </w:tr>
      <w:tr>
        <w:trPr>
          <w:trHeight w:val="213"/>
        </w:trPr>
        <w:tc>
          <w:tcPr>
            <w:tcW w:w="5200" w:type="dxa"/>
            <w:vAlign w:val="bottom"/>
          </w:tcPr>
          <w:p>
            <w:pPr>
              <w:ind w:left="380"/>
              <w:spacing w:after="0"/>
              <w:rPr>
                <w:sz w:val="20"/>
                <w:szCs w:val="20"/>
                <w:color w:val="auto"/>
              </w:rPr>
            </w:pPr>
            <w:r>
              <w:rPr>
                <w:rFonts w:ascii="Arial" w:cs="Arial" w:eastAsia="Arial" w:hAnsi="Arial"/>
                <w:sz w:val="16"/>
                <w:szCs w:val="16"/>
                <w:color w:val="auto"/>
              </w:rPr>
              <w:t>Incremental costs for COVID-19</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r>
      <w:tr>
        <w:trPr>
          <w:trHeight w:val="210"/>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EBITDA excluding special items</w:t>
            </w:r>
          </w:p>
        </w:tc>
        <w:tc>
          <w:tcPr>
            <w:tcW w:w="25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352.1</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289.9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5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Paper</w:t>
            </w:r>
          </w:p>
        </w:tc>
        <w:tc>
          <w:tcPr>
            <w:tcW w:w="2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Segment income</w:t>
            </w:r>
          </w:p>
        </w:tc>
        <w:tc>
          <w:tcPr>
            <w:tcW w:w="3500" w:type="dxa"/>
            <w:vAlign w:val="bottom"/>
            <w:gridSpan w:val="2"/>
          </w:tcPr>
          <w:p>
            <w:pPr>
              <w:jc w:val="right"/>
              <w:ind w:right="825"/>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8.7</w:t>
            </w:r>
          </w:p>
        </w:tc>
        <w:tc>
          <w:tcPr>
            <w:tcW w:w="300" w:type="dxa"/>
            <w:vAlign w:val="bottom"/>
          </w:tcPr>
          <w:p>
            <w:pPr>
              <w:spacing w:after="0"/>
              <w:rPr>
                <w:sz w:val="18"/>
                <w:szCs w:val="18"/>
                <w:color w:val="auto"/>
              </w:rPr>
            </w:pP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r>
      <w:tr>
        <w:trPr>
          <w:trHeight w:val="21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amortization, and depletion</w:t>
            </w:r>
          </w:p>
        </w:tc>
        <w:tc>
          <w:tcPr>
            <w:tcW w:w="25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3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FF0FC"/>
          </w:tcPr>
          <w:p>
            <w:pPr>
              <w:spacing w:after="0"/>
              <w:rPr>
                <w:sz w:val="19"/>
                <w:szCs w:val="19"/>
                <w:color w:val="auto"/>
              </w:rPr>
            </w:pPr>
          </w:p>
        </w:tc>
      </w:tr>
      <w:tr>
        <w:trPr>
          <w:trHeight w:val="207"/>
        </w:trPr>
        <w:tc>
          <w:tcPr>
            <w:tcW w:w="5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EBITDA</w:t>
            </w:r>
          </w:p>
        </w:tc>
        <w:tc>
          <w:tcPr>
            <w:tcW w:w="252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30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FF0FC"/>
            </w:tcBorders>
          </w:tcPr>
          <w:p>
            <w:pPr>
              <w:spacing w:after="0"/>
              <w:rPr>
                <w:sz w:val="17"/>
                <w:szCs w:val="17"/>
                <w:color w:val="auto"/>
              </w:rPr>
            </w:pPr>
          </w:p>
        </w:tc>
      </w:tr>
      <w:tr>
        <w:trPr>
          <w:trHeight w:val="213"/>
        </w:trPr>
        <w:tc>
          <w:tcPr>
            <w:tcW w:w="52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Jackson mill conversion</w:t>
            </w:r>
          </w:p>
        </w:tc>
        <w:tc>
          <w:tcPr>
            <w:tcW w:w="2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ind w:left="380"/>
              <w:spacing w:after="0"/>
              <w:rPr>
                <w:sz w:val="20"/>
                <w:szCs w:val="20"/>
                <w:color w:val="auto"/>
              </w:rPr>
            </w:pPr>
            <w:r>
              <w:rPr>
                <w:rFonts w:ascii="Arial" w:cs="Arial" w:eastAsia="Arial" w:hAnsi="Arial"/>
                <w:sz w:val="16"/>
                <w:szCs w:val="16"/>
                <w:color w:val="auto"/>
              </w:rPr>
              <w:t>Incremental costs for COVID-19</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r>
      <w:tr>
        <w:trPr>
          <w:trHeight w:val="210"/>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EBITDA excluding special items</w:t>
            </w:r>
          </w:p>
        </w:tc>
        <w:tc>
          <w:tcPr>
            <w:tcW w:w="25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15.8</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5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Corporate and Other</w:t>
            </w:r>
          </w:p>
        </w:tc>
        <w:tc>
          <w:tcPr>
            <w:tcW w:w="2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Segment loss</w:t>
            </w:r>
          </w:p>
        </w:tc>
        <w:tc>
          <w:tcPr>
            <w:tcW w:w="3500" w:type="dxa"/>
            <w:vAlign w:val="bottom"/>
            <w:gridSpan w:val="2"/>
          </w:tcPr>
          <w:p>
            <w:pPr>
              <w:jc w:val="right"/>
              <w:ind w:right="825"/>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(28.3)</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(23.2)</w:t>
            </w:r>
          </w:p>
        </w:tc>
      </w:tr>
      <w:tr>
        <w:trPr>
          <w:trHeight w:val="21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amortization, and depletion</w:t>
            </w:r>
          </w:p>
        </w:tc>
        <w:tc>
          <w:tcPr>
            <w:tcW w:w="25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3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9"/>
                <w:szCs w:val="19"/>
                <w:color w:val="auto"/>
              </w:rPr>
            </w:pPr>
          </w:p>
        </w:tc>
      </w:tr>
      <w:tr>
        <w:trPr>
          <w:trHeight w:val="207"/>
        </w:trPr>
        <w:tc>
          <w:tcPr>
            <w:tcW w:w="5200" w:type="dxa"/>
            <w:vAlign w:val="bottom"/>
          </w:tcPr>
          <w:p>
            <w:pPr>
              <w:spacing w:after="0"/>
              <w:rPr>
                <w:sz w:val="20"/>
                <w:szCs w:val="20"/>
                <w:color w:val="auto"/>
              </w:rPr>
            </w:pPr>
            <w:r>
              <w:rPr>
                <w:rFonts w:ascii="Arial" w:cs="Arial" w:eastAsia="Arial" w:hAnsi="Arial"/>
                <w:sz w:val="16"/>
                <w:szCs w:val="16"/>
                <w:color w:val="auto"/>
              </w:rPr>
              <w:t>EBITDA</w:t>
            </w:r>
          </w:p>
        </w:tc>
        <w:tc>
          <w:tcPr>
            <w:tcW w:w="2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(26.1)</w:t>
            </w:r>
          </w:p>
        </w:tc>
        <w:tc>
          <w:tcPr>
            <w:tcW w:w="5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(21.3)</w:t>
            </w:r>
          </w:p>
        </w:tc>
      </w:tr>
      <w:tr>
        <w:trPr>
          <w:trHeight w:val="210"/>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EBITDA excluding special items</w:t>
            </w:r>
          </w:p>
        </w:tc>
        <w:tc>
          <w:tcPr>
            <w:tcW w:w="25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(26.1)</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5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2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EBITDA</w:t>
            </w:r>
          </w:p>
        </w:tc>
        <w:tc>
          <w:tcPr>
            <w:tcW w:w="3500" w:type="dxa"/>
            <w:vAlign w:val="bottom"/>
            <w:gridSpan w:val="2"/>
            <w:shd w:val="clear" w:color="auto" w:fill="CFF0FC"/>
          </w:tcPr>
          <w:p>
            <w:pPr>
              <w:jc w:val="right"/>
              <w:ind w:right="825"/>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339.1</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309.4</w:t>
            </w:r>
          </w:p>
        </w:tc>
        <w:tc>
          <w:tcPr>
            <w:tcW w:w="100" w:type="dxa"/>
            <w:vAlign w:val="bottom"/>
            <w:shd w:val="clear" w:color="auto" w:fill="CFF0FC"/>
          </w:tcPr>
          <w:p>
            <w:pPr>
              <w:spacing w:after="0"/>
              <w:rPr>
                <w:sz w:val="18"/>
                <w:szCs w:val="18"/>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9"/>
        </w:trPr>
        <w:tc>
          <w:tcPr>
            <w:tcW w:w="5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2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EBITDA excluding special items</w:t>
            </w:r>
          </w:p>
        </w:tc>
        <w:tc>
          <w:tcPr>
            <w:tcW w:w="3500" w:type="dxa"/>
            <w:vAlign w:val="bottom"/>
            <w:gridSpan w:val="2"/>
            <w:shd w:val="clear" w:color="auto" w:fill="CFF0FC"/>
          </w:tcPr>
          <w:p>
            <w:pPr>
              <w:jc w:val="right"/>
              <w:ind w:right="825"/>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341.8</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310.6</w:t>
            </w:r>
          </w:p>
        </w:tc>
        <w:tc>
          <w:tcPr>
            <w:tcW w:w="100" w:type="dxa"/>
            <w:vAlign w:val="bottom"/>
            <w:shd w:val="clear" w:color="auto" w:fill="CFF0FC"/>
          </w:tcPr>
          <w:p>
            <w:pPr>
              <w:spacing w:after="0"/>
              <w:rPr>
                <w:sz w:val="18"/>
                <w:szCs w:val="18"/>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Market Risk and Risk Management Policies</w:t>
      </w:r>
    </w:p>
    <w:p>
      <w:pPr>
        <w:spacing w:after="0" w:line="126"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PCA is exposed to the impact of interest rate changes and changes in the market value of its financial instruments. We periodically enter into derivatives to minimize these risks, but not for trading purposes. We were not a party to any derivatives-based arrangements at March 31, 2021. For a discussion of derivatives and hedging activities, see Note 15, Derivative Instruments and Hedging Activities, of the Notes to Consolidated Financial Statements in “Part II, Item 8. Financial Statements and Supplementary Data” of our 2020 Annual Report on Form 10-K.</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2021, interest rates on 100% of PCA’s outstanding debt are fixed.</w:t>
      </w:r>
    </w:p>
    <w:p>
      <w:pPr>
        <w:spacing w:after="0" w:line="33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Off-Balance-Sheet Activities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does not have any off-balance sheet arrangements as of March 31, 2021.</w:t>
      </w:r>
    </w:p>
    <w:p>
      <w:pPr>
        <w:spacing w:after="0" w:line="33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Environmental Matters</w:t>
      </w:r>
    </w:p>
    <w:p>
      <w:pPr>
        <w:spacing w:after="0" w:line="126"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There have been no material changes to the disclosure set forth in Item 7. “Management’s Discussion and Analysis of Financial Condition and Results of Operations - Environmental Matters” filed with our 2020 Annual Report on Form 10-K.</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ind w:right="40" w:firstLine="510"/>
        <w:spacing w:after="0" w:line="289" w:lineRule="auto"/>
        <w:rPr>
          <w:sz w:val="20"/>
          <w:szCs w:val="20"/>
          <w:color w:val="auto"/>
        </w:rPr>
      </w:pPr>
      <w:r>
        <w:rPr>
          <w:rFonts w:ascii="Arial" w:cs="Arial" w:eastAsia="Arial" w:hAnsi="Arial"/>
          <w:sz w:val="15"/>
          <w:szCs w:val="15"/>
          <w:color w:val="auto"/>
        </w:rPr>
        <w:t>Management’s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PCA evaluates its estimates, including those related to business combinations, pensions and other postretirement benefits, goodwill and intangible assets, long-lived asset impairment, environmental liabilities, and income taxes, among others. PCA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24" w:name="page25"/>
    <w:bookmarkEnd w:id="24"/>
    <w:p>
      <w:pPr>
        <w:jc w:val="both"/>
        <w:ind w:right="60" w:firstLine="510"/>
        <w:spacing w:after="0" w:line="278" w:lineRule="auto"/>
        <w:rPr>
          <w:sz w:val="20"/>
          <w:szCs w:val="20"/>
          <w:color w:val="auto"/>
        </w:rPr>
      </w:pPr>
      <w:r>
        <w:rPr>
          <w:rFonts w:ascii="Arial" w:cs="Arial" w:eastAsia="Arial" w:hAnsi="Arial"/>
          <w:sz w:val="16"/>
          <w:szCs w:val="16"/>
          <w:color w:val="auto"/>
        </w:rPr>
        <w:t>PCA has included in its 2020 Annual Report on Form 10-K a discussion of its critical accounting policies and estimates which require management’s most difficult, subjective, or complex judgments used in the preparation of its consolidated financial statements. PCA has not had any changes to these critical accounting estimates during the first three months of 2021.</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New and Recently Adopted Accounting Standards</w:t>
      </w:r>
    </w:p>
    <w:p>
      <w:pPr>
        <w:spacing w:after="0" w:line="126" w:lineRule="exact"/>
        <w:rPr>
          <w:sz w:val="20"/>
          <w:szCs w:val="20"/>
          <w:color w:val="auto"/>
        </w:rPr>
      </w:pPr>
    </w:p>
    <w:p>
      <w:pPr>
        <w:ind w:right="480" w:firstLine="510"/>
        <w:spacing w:after="0" w:line="293" w:lineRule="auto"/>
        <w:rPr>
          <w:sz w:val="20"/>
          <w:szCs w:val="20"/>
          <w:color w:val="auto"/>
        </w:rPr>
      </w:pPr>
      <w:r>
        <w:rPr>
          <w:rFonts w:ascii="Arial" w:cs="Arial" w:eastAsia="Arial" w:hAnsi="Arial"/>
          <w:sz w:val="16"/>
          <w:szCs w:val="16"/>
          <w:color w:val="auto"/>
        </w:rPr>
        <w:t>For a listing of our new and recently adopted accounting standards, see Note 2, New and Recently Adopted Accounting Standards, of the Condensed Notes to Unaudited Quarterly Consolidated Financial Statements in “Part I, Item 1. Financial Statements” of this Form 10-Q.</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right="20" w:firstLine="510"/>
        <w:spacing w:after="0" w:line="291" w:lineRule="auto"/>
        <w:rPr>
          <w:sz w:val="20"/>
          <w:szCs w:val="20"/>
          <w:color w:val="auto"/>
        </w:rPr>
      </w:pPr>
      <w:r>
        <w:rPr>
          <w:rFonts w:ascii="Arial" w:cs="Arial" w:eastAsia="Arial" w:hAnsi="Arial"/>
          <w:sz w:val="15"/>
          <w:szCs w:val="15"/>
          <w:color w:val="auto"/>
        </w:rPr>
        <w:t>Some of the statements in this Quarterly Report on Form 10-Q, and in particular, statements found in this Management’s Discussion and Analysis of Financial Condition and Results of Operations, that are not historical in nature are forward-looking statements within the meaning of the Private Securities Litigation Reform Act of 1995. Forward-looking statements include statements about our expectations regarding our future liquidity, earnings, expenditures, and financial condition. These statements are often identified by the words “will,” “should,” “anticipate,” “believe,” “expect,” “intend,” “estimate,” “hope,” or similar expressions. These statements reflect management’s current views with respect to future events and are subject to risks and uncertainties. There are important factors that could cause actual results to differ materially from those in forward-looking statements, many of which are beyond our control. These factors, risks and uncertainties include the following:</w:t>
      </w:r>
    </w:p>
    <w:p>
      <w:pPr>
        <w:spacing w:after="0" w:line="68"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impact of general economic conditions;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impact of the COVID-19 pandemic on the health of our employees, on our vendors and customers and on economic conditions affecting our business;</w:t>
      </w:r>
    </w:p>
    <w:p>
      <w:pPr>
        <w:spacing w:after="0" w:line="151" w:lineRule="exact"/>
        <w:rPr>
          <w:rFonts w:ascii="Arial" w:cs="Arial" w:eastAsia="Arial" w:hAnsi="Arial"/>
          <w:sz w:val="15"/>
          <w:szCs w:val="15"/>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impact of acquired businesses and risks and uncertainties regarding operation, expected benefits and integration of such businesses;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containerboard, corrugated products, and white paper general industry conditions, including competition, product demand, product pricing, and input costs;</w:t>
      </w:r>
    </w:p>
    <w:p>
      <w:pPr>
        <w:spacing w:after="0" w:line="163" w:lineRule="exact"/>
        <w:rPr>
          <w:rFonts w:ascii="Arial" w:cs="Arial" w:eastAsia="Arial" w:hAnsi="Arial"/>
          <w:sz w:val="14"/>
          <w:szCs w:val="14"/>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fluctuations in wood fiber and recycled fiber costs;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fluctuations in purchased energy costs;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possibility of unplanned outages or interruptions at our principal facilities;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legislative or regulatory actions or requirements, particularly concerning environmental or tax matters.</w:t>
      </w:r>
    </w:p>
    <w:p>
      <w:pPr>
        <w:spacing w:after="0" w:line="248"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Our actual results, performance or achievement could differ materially from those expressed in, or implied by, these forward-looking statements, and accordingly, we can give no assurances that any of the events anticipated by the forward-looking statements will transpire or occur, or if any of them do occur, what impact they will have on our results of operations or financial condition. Given these uncertainties, investors are cautioned not to place undue reliance on these forward-looking statements. We expressly disclaim any obligation to publicly revise any forward-looking statements that have been made to reflect the occurrence of events after the date hereof. For a discussion of other factors, risks and uncertainties that may affect our business, see Item 1A. Risk Factors included in our Annual Report on Form 10-K for the year ended December 31, 2020.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 w:name="page26"/>
    <w:bookmarkEnd w:id="25"/>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26"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For a discussion of market risks related to PCA, see Part I, Item 2, “Management’s Discussion and Analysis of Financial Condition and Results of Operations - Market Risk and Risk Management Policies” in this Quarterly Report on Form 10-Q.</w:t>
      </w:r>
    </w:p>
    <w:p>
      <w:pPr>
        <w:spacing w:after="0" w:line="27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6"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PCA maintains disclosure controls and procedures (as defined in Rule 13a-15(e) of the Securities Exchange Act of 1934) that are designed to provide reasonable assurance that information required to be disclosed in PCA’s filings under the Securities Exchange Act is recorded, processed, summarized and reported within the periods specified in the rules and forms of the SEC and that such information is accumulated and communicated to PCA’s management, including its Chief Executive Officer and Chief Financial Officer, as appropriate, to allow timely decisions regarding required disclosure.</w:t>
      </w:r>
    </w:p>
    <w:p>
      <w:pPr>
        <w:spacing w:after="0" w:line="189" w:lineRule="exact"/>
        <w:rPr>
          <w:sz w:val="20"/>
          <w:szCs w:val="20"/>
          <w:color w:val="auto"/>
        </w:rPr>
      </w:pPr>
    </w:p>
    <w:p>
      <w:pPr>
        <w:ind w:right="60" w:firstLine="510"/>
        <w:spacing w:after="0" w:line="271" w:lineRule="auto"/>
        <w:rPr>
          <w:sz w:val="20"/>
          <w:szCs w:val="20"/>
          <w:color w:val="auto"/>
        </w:rPr>
      </w:pPr>
      <w:r>
        <w:rPr>
          <w:rFonts w:ascii="Arial" w:cs="Arial" w:eastAsia="Arial" w:hAnsi="Arial"/>
          <w:sz w:val="16"/>
          <w:szCs w:val="16"/>
          <w:color w:val="auto"/>
        </w:rPr>
        <w:t>Prior to filing this report, PCA completed an evaluation under the supervision and with the participation of PCA’s management, including PCA’s Chief Executive Officer and Chief Financial Officer, of the effectiveness of the design and operation of PCA’s disclosure controls and procedures as of March 31, 2021. The evaluation of PCA’s disclosure controls and procedures included a review of the controls’ objectives and design, PCA’s implementation of the controls, and the effect of the controls on the information generated for use in this report. Based on this evaluation, PCA’s Chief Executive Officer and Chief Financial Officer concluded that PCA’s disclosure controls and procedures were effective at the reasonable assurance level as of March 31, 2021.</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39" w:lineRule="exact"/>
        <w:rPr>
          <w:sz w:val="20"/>
          <w:szCs w:val="20"/>
          <w:color w:val="auto"/>
        </w:rPr>
      </w:pPr>
    </w:p>
    <w:p>
      <w:pPr>
        <w:ind w:right="120" w:firstLine="562"/>
        <w:spacing w:after="0" w:line="328" w:lineRule="auto"/>
        <w:rPr>
          <w:sz w:val="20"/>
          <w:szCs w:val="20"/>
          <w:color w:val="auto"/>
        </w:rPr>
      </w:pPr>
      <w:r>
        <w:rPr>
          <w:rFonts w:ascii="Arial" w:cs="Arial" w:eastAsia="Arial" w:hAnsi="Arial"/>
          <w:sz w:val="15"/>
          <w:szCs w:val="15"/>
          <w:color w:val="auto"/>
        </w:rPr>
        <w:t>There have been no changes in our internal control over financial reporting (as defined in Rule 13a-15(f) under the Exchange Act) that occurred during the most recent fiscal quarter ended March 31, 2021 that have materially affected, or are reasonably likely to materially affect, our internal control over financial reporting.</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126" w:lineRule="exact"/>
        <w:rPr>
          <w:sz w:val="20"/>
          <w:szCs w:val="20"/>
          <w:color w:val="auto"/>
        </w:rPr>
      </w:pPr>
    </w:p>
    <w:p>
      <w:pPr>
        <w:ind w:right="220" w:firstLine="510"/>
        <w:spacing w:after="0" w:line="369" w:lineRule="auto"/>
        <w:rPr>
          <w:sz w:val="20"/>
          <w:szCs w:val="20"/>
          <w:color w:val="auto"/>
        </w:rPr>
      </w:pPr>
      <w:r>
        <w:rPr>
          <w:rFonts w:ascii="Arial" w:cs="Arial" w:eastAsia="Arial" w:hAnsi="Arial"/>
          <w:sz w:val="14"/>
          <w:szCs w:val="14"/>
          <w:color w:val="auto"/>
        </w:rPr>
        <w:t>The disclosure set forth under the caption "Legal Proceedings" in Note 19, Commitments, Guarantees, Indemnifications and Legal Proceedings, of the Condensed Notes to Unaudited Quarterly Consolidated Financial Statements in "Part I, Item 1. Financial Statements" of this Form 10-Q is incorporated herein by reference.</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26" w:lineRule="exact"/>
        <w:rPr>
          <w:sz w:val="20"/>
          <w:szCs w:val="20"/>
          <w:color w:val="auto"/>
        </w:rPr>
      </w:pPr>
    </w:p>
    <w:p>
      <w:pPr>
        <w:ind w:right="660" w:firstLine="562"/>
        <w:spacing w:after="0" w:line="293" w:lineRule="auto"/>
        <w:rPr>
          <w:sz w:val="20"/>
          <w:szCs w:val="20"/>
          <w:color w:val="auto"/>
        </w:rPr>
      </w:pPr>
      <w:r>
        <w:rPr>
          <w:rFonts w:ascii="Arial" w:cs="Arial" w:eastAsia="Arial" w:hAnsi="Arial"/>
          <w:sz w:val="16"/>
          <w:szCs w:val="16"/>
          <w:color w:val="auto"/>
        </w:rPr>
        <w:t>There have been no material changes to the risk factors disclosed in “Part I, Item IA. Risk Factors” in our Annual Report on Form 10-K for the year ended December 31, 2020.</w:t>
      </w:r>
    </w:p>
    <w:p>
      <w:pPr>
        <w:spacing w:after="0" w:line="27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126" w:lineRule="exact"/>
        <w:rPr>
          <w:sz w:val="20"/>
          <w:szCs w:val="20"/>
          <w:color w:val="auto"/>
        </w:rPr>
      </w:pPr>
    </w:p>
    <w:p>
      <w:pPr>
        <w:ind w:right="320" w:firstLine="510"/>
        <w:spacing w:after="0" w:line="293" w:lineRule="auto"/>
        <w:rPr>
          <w:sz w:val="20"/>
          <w:szCs w:val="20"/>
          <w:color w:val="auto"/>
        </w:rPr>
      </w:pPr>
      <w:r>
        <w:rPr>
          <w:rFonts w:ascii="Arial" w:cs="Arial" w:eastAsia="Arial" w:hAnsi="Arial"/>
          <w:sz w:val="16"/>
          <w:szCs w:val="16"/>
          <w:color w:val="auto"/>
        </w:rPr>
        <w:t>The following table presents information related to our repurchases of common stock made under repurchase plans authorized by PCA's Board of Directors, and shares withheld to cover taxes on vesting of equity awards, during the three months ended March 31, 2021:</w:t>
      </w:r>
    </w:p>
    <w:p>
      <w:pPr>
        <w:spacing w:after="0" w:line="17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0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82"/>
              <w:spacing w:after="0" w:line="133" w:lineRule="exact"/>
              <w:rPr>
                <w:sz w:val="20"/>
                <w:szCs w:val="20"/>
                <w:color w:val="auto"/>
              </w:rPr>
            </w:pPr>
            <w:r>
              <w:rPr>
                <w:rFonts w:ascii="Arial" w:cs="Arial" w:eastAsia="Arial" w:hAnsi="Arial"/>
                <w:sz w:val="14"/>
                <w:szCs w:val="14"/>
                <w:b w:val="1"/>
                <w:bCs w:val="1"/>
                <w:color w:val="auto"/>
                <w:w w:val="93"/>
              </w:rPr>
              <w:t>Approximate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That May Yet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Purchased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48"/>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 Paid Per</w:t>
            </w: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(a)</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January 1-31, 2021</w:t>
            </w:r>
          </w:p>
        </w:tc>
        <w:tc>
          <w:tcPr>
            <w:tcW w:w="1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134.65</w:t>
            </w: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ind w:left="12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February 1-28, 2021</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March 1-31, 2021</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135.37</w:t>
            </w:r>
          </w:p>
        </w:tc>
        <w:tc>
          <w:tcPr>
            <w:tcW w:w="1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ind w:left="12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1,101</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134.94</w:t>
            </w:r>
          </w:p>
        </w:tc>
        <w:tc>
          <w:tcPr>
            <w:tcW w:w="160" w:type="dxa"/>
            <w:vAlign w:val="bottom"/>
          </w:tcPr>
          <w:p>
            <w:pPr>
              <w:spacing w:after="0"/>
              <w:rPr>
                <w:sz w:val="20"/>
                <w:szCs w:val="20"/>
                <w:color w:val="auto"/>
              </w:rPr>
            </w:pPr>
          </w:p>
        </w:tc>
        <w:tc>
          <w:tcPr>
            <w:tcW w:w="17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shares were withheld from employees to cover income and payroll taxes on equity awards that vested during the period.</w:t>
      </w:r>
    </w:p>
    <w:p>
      <w:pPr>
        <w:spacing w:after="0" w:line="3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3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3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10320" w:type="dxa"/>
            <w:vAlign w:val="bottom"/>
            <w:gridSpan w:val="3"/>
          </w:tcPr>
          <w:p>
            <w:pPr>
              <w:ind w:left="100"/>
              <w:spacing w:after="0"/>
              <w:rPr>
                <w:sz w:val="20"/>
                <w:szCs w:val="20"/>
                <w:color w:val="auto"/>
              </w:rPr>
            </w:pPr>
            <w:r>
              <w:rPr>
                <w:rFonts w:ascii="Arial" w:cs="Arial" w:eastAsia="Arial" w:hAnsi="Arial"/>
                <w:sz w:val="16"/>
                <w:szCs w:val="16"/>
                <w:b w:val="1"/>
                <w:bCs w:val="1"/>
                <w:i w:val="1"/>
                <w:iCs w:val="1"/>
                <w:color w:val="auto"/>
              </w:rPr>
              <w:t>EXHIBITS</w:t>
            </w:r>
          </w:p>
        </w:tc>
        <w:tc>
          <w:tcPr>
            <w:tcW w:w="0" w:type="dxa"/>
            <w:vAlign w:val="bottom"/>
          </w:tcPr>
          <w:p>
            <w:pPr>
              <w:spacing w:after="0"/>
              <w:rPr>
                <w:sz w:val="1"/>
                <w:szCs w:val="1"/>
                <w:color w:val="auto"/>
              </w:rPr>
            </w:pPr>
          </w:p>
        </w:tc>
      </w:tr>
      <w:tr>
        <w:trPr>
          <w:trHeight w:val="348"/>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7440" w:type="dxa"/>
            <w:vAlign w:val="bottom"/>
            <w:tcBorders>
              <w:top w:val="single" w:sz="8" w:color="auto"/>
              <w:bottom w:val="single" w:sz="8" w:color="0000EE"/>
            </w:tcBorders>
            <w:gridSpan w:val="2"/>
          </w:tcPr>
          <w:p>
            <w:pPr>
              <w:spacing w:after="0"/>
              <w:rPr>
                <w:rFonts w:ascii="Arial" w:cs="Arial" w:eastAsia="Arial" w:hAnsi="Arial"/>
                <w:sz w:val="16"/>
                <w:szCs w:val="16"/>
                <w:color w:val="0000EE"/>
                <w:w w:val="92"/>
              </w:rPr>
            </w:pPr>
            <w:hyperlink w:anchor="page30">
              <w:r>
                <w:rPr>
                  <w:rFonts w:ascii="Arial" w:cs="Arial" w:eastAsia="Arial" w:hAnsi="Arial"/>
                  <w:sz w:val="16"/>
                  <w:szCs w:val="16"/>
                  <w:color w:val="0000EE"/>
                  <w:w w:val="92"/>
                </w:rPr>
                <w:t>Certification of Chief Executive Officer, as Adopted Pursuant to Section 302 of the Sarbanes-Oxley Act of 2002. †</w:t>
              </w:r>
            </w:hyperlink>
          </w:p>
        </w:tc>
        <w:tc>
          <w:tcPr>
            <w:tcW w:w="2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7400" w:type="dxa"/>
            <w:vAlign w:val="bottom"/>
            <w:tcBorders>
              <w:bottom w:val="single" w:sz="8" w:color="0000EE"/>
            </w:tcBorders>
          </w:tcPr>
          <w:p>
            <w:pPr>
              <w:spacing w:after="0"/>
              <w:rPr>
                <w:rFonts w:ascii="Arial" w:cs="Arial" w:eastAsia="Arial" w:hAnsi="Arial"/>
                <w:sz w:val="16"/>
                <w:szCs w:val="16"/>
                <w:color w:val="0000EE"/>
                <w:w w:val="92"/>
              </w:rPr>
            </w:pPr>
            <w:hyperlink w:anchor="page31">
              <w:r>
                <w:rPr>
                  <w:rFonts w:ascii="Arial" w:cs="Arial" w:eastAsia="Arial" w:hAnsi="Arial"/>
                  <w:sz w:val="16"/>
                  <w:szCs w:val="16"/>
                  <w:color w:val="0000EE"/>
                  <w:w w:val="92"/>
                </w:rPr>
                <w:t>Certification of Chief Financial Officer, as Adopted Pursuant to Section 302 of the Sarbanes-Oxley Act of 2002. †</w:t>
              </w:r>
            </w:hyperlink>
          </w:p>
        </w:tc>
        <w:tc>
          <w:tcPr>
            <w:tcW w:w="2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20" w:right="120" w:hanging="912"/>
        <w:spacing w:after="0" w:line="293" w:lineRule="auto"/>
        <w:tabs>
          <w:tab w:leader="none" w:pos="920" w:val="left"/>
        </w:tabs>
        <w:numPr>
          <w:ilvl w:val="0"/>
          <w:numId w:val="33"/>
        </w:numPr>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Certification of Chief Executive Officer and Chief Financial Officer Pursuant to 18 U.S.C. §1350, as Adopted Pursuant to Section 906 of the Sarbanes-Oxley</w:t>
        </w:r>
      </w:hyperlink>
      <w:r>
        <w:rPr>
          <w:rFonts w:ascii="Arial" w:cs="Arial" w:eastAsia="Arial" w:hAnsi="Arial"/>
          <w:sz w:val="16"/>
          <w:szCs w:val="16"/>
          <w:u w:val="single" w:color="auto"/>
          <w:color w:val="0000EE"/>
        </w:rPr>
        <w:t xml:space="preserve"> </w:t>
      </w:r>
      <w:hyperlink w:anchor="page32">
        <w:r>
          <w:rPr>
            <w:rFonts w:ascii="Arial" w:cs="Arial" w:eastAsia="Arial" w:hAnsi="Arial"/>
            <w:sz w:val="16"/>
            <w:szCs w:val="16"/>
            <w:u w:val="single" w:color="auto"/>
            <w:color w:val="0000EE"/>
          </w:rPr>
          <w:t>Act of 2002. †</w:t>
        </w:r>
      </w:hyperlink>
    </w:p>
    <w:p>
      <w:pPr>
        <w:spacing w:after="0" w:line="7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spacing w:after="0"/>
              <w:rPr>
                <w:sz w:val="20"/>
                <w:szCs w:val="20"/>
                <w:color w:val="auto"/>
              </w:rPr>
            </w:pPr>
            <w:r>
              <w:rPr>
                <w:rFonts w:ascii="Arial" w:cs="Arial" w:eastAsia="Arial" w:hAnsi="Arial"/>
                <w:sz w:val="16"/>
                <w:szCs w:val="16"/>
                <w:color w:val="auto"/>
              </w:rPr>
              <w:t>101.INS</w:t>
            </w:r>
          </w:p>
        </w:tc>
        <w:tc>
          <w:tcPr>
            <w:tcW w:w="10320" w:type="dxa"/>
            <w:vAlign w:val="bottom"/>
          </w:tcPr>
          <w:p>
            <w:pPr>
              <w:ind w:left="160"/>
              <w:spacing w:after="0"/>
              <w:rPr>
                <w:sz w:val="20"/>
                <w:szCs w:val="20"/>
                <w:color w:val="auto"/>
              </w:rPr>
            </w:pPr>
            <w:r>
              <w:rPr>
                <w:rFonts w:ascii="Arial" w:cs="Arial" w:eastAsia="Arial" w:hAnsi="Arial"/>
                <w:sz w:val="16"/>
                <w:szCs w:val="16"/>
                <w:color w:val="auto"/>
                <w:w w:val="91"/>
              </w:rPr>
              <w:t>Inline XBRL Instance Document – the instance document does not appear in the Interactive Data File because its XBRL tags are embedded within the Inline</w:t>
            </w:r>
          </w:p>
        </w:tc>
      </w:tr>
      <w:tr>
        <w:trPr>
          <w:trHeight w:val="216"/>
        </w:trPr>
        <w:tc>
          <w:tcPr>
            <w:tcW w:w="760" w:type="dxa"/>
            <w:vAlign w:val="bottom"/>
          </w:tcPr>
          <w:p>
            <w:pPr>
              <w:spacing w:after="0"/>
              <w:rPr>
                <w:sz w:val="18"/>
                <w:szCs w:val="18"/>
                <w:color w:val="auto"/>
              </w:rPr>
            </w:pPr>
          </w:p>
        </w:tc>
        <w:tc>
          <w:tcPr>
            <w:tcW w:w="10320" w:type="dxa"/>
            <w:vAlign w:val="bottom"/>
          </w:tcPr>
          <w:p>
            <w:pPr>
              <w:ind w:left="160"/>
              <w:spacing w:after="0"/>
              <w:rPr>
                <w:sz w:val="20"/>
                <w:szCs w:val="20"/>
                <w:color w:val="auto"/>
              </w:rPr>
            </w:pPr>
            <w:r>
              <w:rPr>
                <w:rFonts w:ascii="Arial" w:cs="Arial" w:eastAsia="Arial" w:hAnsi="Arial"/>
                <w:sz w:val="16"/>
                <w:szCs w:val="16"/>
                <w:color w:val="auto"/>
              </w:rPr>
              <w:t>XBRL document. †</w:t>
            </w:r>
          </w:p>
        </w:tc>
      </w:tr>
      <w:tr>
        <w:trPr>
          <w:trHeight w:val="324"/>
        </w:trPr>
        <w:tc>
          <w:tcPr>
            <w:tcW w:w="760" w:type="dxa"/>
            <w:vAlign w:val="bottom"/>
          </w:tcPr>
          <w:p>
            <w:pPr>
              <w:spacing w:after="0"/>
              <w:rPr>
                <w:sz w:val="20"/>
                <w:szCs w:val="20"/>
                <w:color w:val="auto"/>
              </w:rPr>
            </w:pPr>
            <w:r>
              <w:rPr>
                <w:rFonts w:ascii="Arial" w:cs="Arial" w:eastAsia="Arial" w:hAnsi="Arial"/>
                <w:sz w:val="16"/>
                <w:szCs w:val="16"/>
                <w:color w:val="auto"/>
              </w:rPr>
              <w:t>101.SCH</w:t>
            </w:r>
          </w:p>
        </w:tc>
        <w:tc>
          <w:tcPr>
            <w:tcW w:w="1032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 †</w:t>
            </w:r>
          </w:p>
        </w:tc>
      </w:tr>
      <w:tr>
        <w:trPr>
          <w:trHeight w:val="324"/>
        </w:trPr>
        <w:tc>
          <w:tcPr>
            <w:tcW w:w="760" w:type="dxa"/>
            <w:vAlign w:val="bottom"/>
          </w:tcPr>
          <w:p>
            <w:pPr>
              <w:spacing w:after="0"/>
              <w:rPr>
                <w:sz w:val="20"/>
                <w:szCs w:val="20"/>
                <w:color w:val="auto"/>
              </w:rPr>
            </w:pPr>
            <w:r>
              <w:rPr>
                <w:rFonts w:ascii="Arial" w:cs="Arial" w:eastAsia="Arial" w:hAnsi="Arial"/>
                <w:sz w:val="16"/>
                <w:szCs w:val="16"/>
                <w:color w:val="auto"/>
              </w:rPr>
              <w:t>101.CAL</w:t>
            </w:r>
          </w:p>
        </w:tc>
        <w:tc>
          <w:tcPr>
            <w:tcW w:w="1032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 †</w:t>
            </w:r>
          </w:p>
        </w:tc>
      </w:tr>
      <w:tr>
        <w:trPr>
          <w:trHeight w:val="324"/>
        </w:trPr>
        <w:tc>
          <w:tcPr>
            <w:tcW w:w="760" w:type="dxa"/>
            <w:vAlign w:val="bottom"/>
          </w:tcPr>
          <w:p>
            <w:pPr>
              <w:spacing w:after="0"/>
              <w:rPr>
                <w:sz w:val="20"/>
                <w:szCs w:val="20"/>
                <w:color w:val="auto"/>
              </w:rPr>
            </w:pPr>
            <w:r>
              <w:rPr>
                <w:rFonts w:ascii="Arial" w:cs="Arial" w:eastAsia="Arial" w:hAnsi="Arial"/>
                <w:sz w:val="16"/>
                <w:szCs w:val="16"/>
                <w:color w:val="auto"/>
              </w:rPr>
              <w:t>101.DEF</w:t>
            </w:r>
          </w:p>
        </w:tc>
        <w:tc>
          <w:tcPr>
            <w:tcW w:w="1032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 †</w:t>
            </w:r>
          </w:p>
        </w:tc>
      </w:tr>
      <w:tr>
        <w:trPr>
          <w:trHeight w:val="324"/>
        </w:trPr>
        <w:tc>
          <w:tcPr>
            <w:tcW w:w="760" w:type="dxa"/>
            <w:vAlign w:val="bottom"/>
          </w:tcPr>
          <w:p>
            <w:pPr>
              <w:spacing w:after="0"/>
              <w:rPr>
                <w:sz w:val="20"/>
                <w:szCs w:val="20"/>
                <w:color w:val="auto"/>
              </w:rPr>
            </w:pPr>
            <w:r>
              <w:rPr>
                <w:rFonts w:ascii="Arial" w:cs="Arial" w:eastAsia="Arial" w:hAnsi="Arial"/>
                <w:sz w:val="16"/>
                <w:szCs w:val="16"/>
                <w:color w:val="auto"/>
              </w:rPr>
              <w:t>101.LAB</w:t>
            </w:r>
          </w:p>
        </w:tc>
        <w:tc>
          <w:tcPr>
            <w:tcW w:w="1032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 †</w:t>
            </w:r>
          </w:p>
        </w:tc>
      </w:tr>
      <w:tr>
        <w:trPr>
          <w:trHeight w:val="324"/>
        </w:trPr>
        <w:tc>
          <w:tcPr>
            <w:tcW w:w="760" w:type="dxa"/>
            <w:vAlign w:val="bottom"/>
          </w:tcPr>
          <w:p>
            <w:pPr>
              <w:spacing w:after="0"/>
              <w:rPr>
                <w:sz w:val="20"/>
                <w:szCs w:val="20"/>
                <w:color w:val="auto"/>
              </w:rPr>
            </w:pPr>
            <w:r>
              <w:rPr>
                <w:rFonts w:ascii="Arial" w:cs="Arial" w:eastAsia="Arial" w:hAnsi="Arial"/>
                <w:sz w:val="16"/>
                <w:szCs w:val="16"/>
                <w:color w:val="auto"/>
              </w:rPr>
              <w:t>101.PRE</w:t>
            </w:r>
          </w:p>
        </w:tc>
        <w:tc>
          <w:tcPr>
            <w:tcW w:w="1032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 †</w:t>
            </w:r>
          </w:p>
        </w:tc>
      </w:tr>
    </w:tbl>
    <w:p>
      <w:pPr>
        <w:spacing w:after="0" w:line="118" w:lineRule="exact"/>
        <w:rPr>
          <w:rFonts w:ascii="Arial" w:cs="Arial" w:eastAsia="Arial" w:hAnsi="Arial"/>
          <w:sz w:val="16"/>
          <w:szCs w:val="16"/>
          <w:color w:val="auto"/>
        </w:rPr>
      </w:pPr>
    </w:p>
    <w:p>
      <w:pPr>
        <w:ind w:left="920" w:hanging="912"/>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 †</w:t>
      </w:r>
    </w:p>
    <w:p>
      <w:pPr>
        <w:spacing w:after="0" w:line="2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Filed herewith.</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9030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8" w:name="page29"/>
    <w:bookmarkEnd w:id="28"/>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Packaging Corporation of America</w:t>
      </w:r>
    </w:p>
    <w:p>
      <w:pPr>
        <w:spacing w:after="0" w:line="221" w:lineRule="exact"/>
        <w:rPr>
          <w:sz w:val="20"/>
          <w:szCs w:val="20"/>
          <w:color w:val="auto"/>
        </w:rPr>
      </w:pPr>
    </w:p>
    <w:p>
      <w:pPr>
        <w:ind w:left="6200"/>
        <w:spacing w:after="0"/>
        <w:tabs>
          <w:tab w:leader="none" w:pos="6500" w:val="left"/>
        </w:tabs>
        <w:rPr>
          <w:sz w:val="20"/>
          <w:szCs w:val="20"/>
          <w:color w:val="auto"/>
        </w:rPr>
      </w:pPr>
      <w:r>
        <w:rPr>
          <w:rFonts w:ascii="Arial" w:cs="Arial" w:eastAsia="Arial" w:hAnsi="Arial"/>
          <w:sz w:val="16"/>
          <w:szCs w:val="16"/>
          <w:color w:val="auto"/>
        </w:rPr>
        <w:t>/s/</w:t>
        <w:tab/>
        <w:t>PAMELA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Pamela A. Barnes</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Senior Vice President, Finance and Controller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Date: May 5, 2021</w:t>
      </w: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660"/>
          </w:cols>
          <w:pgMar w:left="320" w:top="337" w:right="9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W. Kowlzan, certify that:</w:t>
      </w:r>
    </w:p>
    <w:p>
      <w:pPr>
        <w:spacing w:after="0" w:line="117" w:lineRule="exact"/>
        <w:rPr>
          <w:sz w:val="20"/>
          <w:szCs w:val="20"/>
          <w:color w:val="auto"/>
        </w:rPr>
      </w:pPr>
    </w:p>
    <w:p>
      <w:pPr>
        <w:ind w:left="800" w:hanging="25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Packaging Corporation of America (PCA);</w:t>
      </w:r>
    </w:p>
    <w:p>
      <w:pPr>
        <w:spacing w:after="0" w:line="225" w:lineRule="exact"/>
        <w:rPr>
          <w:rFonts w:ascii="Arial" w:cs="Arial" w:eastAsia="Arial" w:hAnsi="Arial"/>
          <w:sz w:val="18"/>
          <w:szCs w:val="18"/>
          <w:color w:val="auto"/>
        </w:rPr>
      </w:pPr>
    </w:p>
    <w:p>
      <w:pPr>
        <w:ind w:right="240" w:firstLine="546"/>
        <w:spacing w:after="0" w:line="263" w:lineRule="auto"/>
        <w:tabs>
          <w:tab w:leader="none" w:pos="7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0" w:firstLine="546"/>
        <w:spacing w:after="0" w:line="277" w:lineRule="auto"/>
        <w:tabs>
          <w:tab w:leader="none" w:pos="7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PCA as of, and for, the periods presented in this report;</w:t>
      </w:r>
    </w:p>
    <w:p>
      <w:pPr>
        <w:spacing w:after="0" w:line="170" w:lineRule="exact"/>
        <w:rPr>
          <w:rFonts w:ascii="Arial" w:cs="Arial" w:eastAsia="Arial" w:hAnsi="Arial"/>
          <w:sz w:val="18"/>
          <w:szCs w:val="18"/>
          <w:color w:val="auto"/>
        </w:rPr>
      </w:pPr>
    </w:p>
    <w:p>
      <w:pPr>
        <w:jc w:val="both"/>
        <w:ind w:right="80" w:firstLine="546"/>
        <w:spacing w:after="0" w:line="263" w:lineRule="auto"/>
        <w:tabs>
          <w:tab w:leader="none" w:pos="7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75" w:lineRule="exact"/>
        <w:rPr>
          <w:rFonts w:ascii="Arial" w:cs="Arial" w:eastAsia="Arial" w:hAnsi="Arial"/>
          <w:sz w:val="18"/>
          <w:szCs w:val="18"/>
          <w:color w:val="auto"/>
        </w:rPr>
      </w:pPr>
    </w:p>
    <w:p>
      <w:pPr>
        <w:ind w:left="540" w:right="20" w:firstLine="518"/>
        <w:spacing w:after="0" w:line="263" w:lineRule="auto"/>
        <w:tabs>
          <w:tab w:leader="none" w:pos="1237"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40" w:right="180" w:firstLine="518"/>
        <w:spacing w:after="0" w:line="263" w:lineRule="auto"/>
        <w:tabs>
          <w:tab w:leader="none" w:pos="1247"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540" w:right="940" w:firstLine="518"/>
        <w:spacing w:after="0" w:line="342" w:lineRule="auto"/>
        <w:tabs>
          <w:tab w:leader="none" w:pos="1237" w:val="left"/>
        </w:tabs>
        <w:numPr>
          <w:ilvl w:val="2"/>
          <w:numId w:val="35"/>
        </w:numPr>
        <w:rPr>
          <w:rFonts w:ascii="Arial" w:cs="Arial" w:eastAsia="Arial" w:hAnsi="Arial"/>
          <w:sz w:val="16"/>
          <w:szCs w:val="16"/>
          <w:color w:val="auto"/>
        </w:rPr>
      </w:pPr>
      <w:r>
        <w:rPr>
          <w:rFonts w:ascii="Arial" w:cs="Arial" w:eastAsia="Arial" w:hAnsi="Arial"/>
          <w:sz w:val="16"/>
          <w:szCs w:val="16"/>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40" w:right="60" w:firstLine="518"/>
        <w:spacing w:after="0" w:line="263" w:lineRule="auto"/>
        <w:tabs>
          <w:tab w:leader="none" w:pos="1247" w:val="left"/>
        </w:tabs>
        <w:numPr>
          <w:ilvl w:val="2"/>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183" w:lineRule="exact"/>
        <w:rPr>
          <w:rFonts w:ascii="Arial" w:cs="Arial" w:eastAsia="Arial" w:hAnsi="Arial"/>
          <w:sz w:val="18"/>
          <w:szCs w:val="18"/>
          <w:color w:val="auto"/>
        </w:rPr>
      </w:pPr>
    </w:p>
    <w:p>
      <w:pPr>
        <w:ind w:right="300" w:firstLine="546"/>
        <w:spacing w:after="0" w:line="277" w:lineRule="auto"/>
        <w:tabs>
          <w:tab w:leader="none" w:pos="7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62" w:lineRule="exact"/>
        <w:rPr>
          <w:rFonts w:ascii="Arial" w:cs="Arial" w:eastAsia="Arial" w:hAnsi="Arial"/>
          <w:sz w:val="18"/>
          <w:szCs w:val="18"/>
          <w:color w:val="auto"/>
        </w:rPr>
      </w:pPr>
    </w:p>
    <w:p>
      <w:pPr>
        <w:ind w:left="540" w:right="580" w:firstLine="507"/>
        <w:spacing w:after="0" w:line="308" w:lineRule="auto"/>
        <w:tabs>
          <w:tab w:leader="none" w:pos="1237"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38" w:lineRule="exact"/>
        <w:rPr>
          <w:rFonts w:ascii="Arial" w:cs="Arial" w:eastAsia="Arial" w:hAnsi="Arial"/>
          <w:sz w:val="17"/>
          <w:szCs w:val="17"/>
          <w:color w:val="auto"/>
        </w:rPr>
      </w:pPr>
    </w:p>
    <w:p>
      <w:pPr>
        <w:ind w:left="540" w:right="300" w:firstLine="518"/>
        <w:spacing w:after="0" w:line="277" w:lineRule="auto"/>
        <w:tabs>
          <w:tab w:leader="none" w:pos="1247"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PCA’s internal control over financial reporting.</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W. Kowlzan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CFO 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Robert P. Mundy, certify that:</w:t>
      </w:r>
    </w:p>
    <w:p>
      <w:pPr>
        <w:spacing w:after="0" w:line="117" w:lineRule="exact"/>
        <w:rPr>
          <w:sz w:val="20"/>
          <w:szCs w:val="20"/>
          <w:color w:val="auto"/>
        </w:rPr>
      </w:pPr>
    </w:p>
    <w:p>
      <w:pPr>
        <w:ind w:left="800" w:hanging="254"/>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Packaging Corporation of America (PCA);</w:t>
      </w:r>
    </w:p>
    <w:p>
      <w:pPr>
        <w:spacing w:after="0" w:line="225" w:lineRule="exact"/>
        <w:rPr>
          <w:rFonts w:ascii="Arial" w:cs="Arial" w:eastAsia="Arial" w:hAnsi="Arial"/>
          <w:sz w:val="18"/>
          <w:szCs w:val="18"/>
          <w:color w:val="auto"/>
        </w:rPr>
      </w:pPr>
    </w:p>
    <w:p>
      <w:pPr>
        <w:ind w:right="240" w:firstLine="546"/>
        <w:spacing w:after="0" w:line="263" w:lineRule="auto"/>
        <w:tabs>
          <w:tab w:leader="none" w:pos="7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0" w:firstLine="546"/>
        <w:spacing w:after="0" w:line="277" w:lineRule="auto"/>
        <w:tabs>
          <w:tab w:leader="none" w:pos="7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PCA as of, and for, the periods presented in this report;</w:t>
      </w:r>
    </w:p>
    <w:p>
      <w:pPr>
        <w:spacing w:after="0" w:line="170" w:lineRule="exact"/>
        <w:rPr>
          <w:rFonts w:ascii="Arial" w:cs="Arial" w:eastAsia="Arial" w:hAnsi="Arial"/>
          <w:sz w:val="18"/>
          <w:szCs w:val="18"/>
          <w:color w:val="auto"/>
        </w:rPr>
      </w:pPr>
    </w:p>
    <w:p>
      <w:pPr>
        <w:jc w:val="both"/>
        <w:ind w:right="80" w:firstLine="546"/>
        <w:spacing w:after="0" w:line="263" w:lineRule="auto"/>
        <w:tabs>
          <w:tab w:leader="none" w:pos="7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75" w:lineRule="exact"/>
        <w:rPr>
          <w:rFonts w:ascii="Arial" w:cs="Arial" w:eastAsia="Arial" w:hAnsi="Arial"/>
          <w:sz w:val="18"/>
          <w:szCs w:val="18"/>
          <w:color w:val="auto"/>
        </w:rPr>
      </w:pPr>
    </w:p>
    <w:p>
      <w:pPr>
        <w:ind w:left="540" w:right="20" w:firstLine="518"/>
        <w:spacing w:after="0" w:line="263" w:lineRule="auto"/>
        <w:tabs>
          <w:tab w:leader="none" w:pos="1237"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40" w:right="180" w:firstLine="518"/>
        <w:spacing w:after="0" w:line="263" w:lineRule="auto"/>
        <w:tabs>
          <w:tab w:leader="none" w:pos="1247"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540" w:right="940" w:firstLine="518"/>
        <w:spacing w:after="0" w:line="342" w:lineRule="auto"/>
        <w:tabs>
          <w:tab w:leader="none" w:pos="1237" w:val="left"/>
        </w:tabs>
        <w:numPr>
          <w:ilvl w:val="2"/>
          <w:numId w:val="37"/>
        </w:numPr>
        <w:rPr>
          <w:rFonts w:ascii="Arial" w:cs="Arial" w:eastAsia="Arial" w:hAnsi="Arial"/>
          <w:sz w:val="16"/>
          <w:szCs w:val="16"/>
          <w:color w:val="auto"/>
        </w:rPr>
      </w:pPr>
      <w:r>
        <w:rPr>
          <w:rFonts w:ascii="Arial" w:cs="Arial" w:eastAsia="Arial" w:hAnsi="Arial"/>
          <w:sz w:val="16"/>
          <w:szCs w:val="16"/>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40" w:right="60" w:firstLine="518"/>
        <w:spacing w:after="0" w:line="263" w:lineRule="auto"/>
        <w:tabs>
          <w:tab w:leader="none" w:pos="1247" w:val="left"/>
        </w:tabs>
        <w:numPr>
          <w:ilvl w:val="2"/>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183" w:lineRule="exact"/>
        <w:rPr>
          <w:rFonts w:ascii="Arial" w:cs="Arial" w:eastAsia="Arial" w:hAnsi="Arial"/>
          <w:sz w:val="18"/>
          <w:szCs w:val="18"/>
          <w:color w:val="auto"/>
        </w:rPr>
      </w:pPr>
    </w:p>
    <w:p>
      <w:pPr>
        <w:ind w:right="300" w:firstLine="546"/>
        <w:spacing w:after="0" w:line="277" w:lineRule="auto"/>
        <w:tabs>
          <w:tab w:leader="none" w:pos="7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62" w:lineRule="exact"/>
        <w:rPr>
          <w:rFonts w:ascii="Arial" w:cs="Arial" w:eastAsia="Arial" w:hAnsi="Arial"/>
          <w:sz w:val="18"/>
          <w:szCs w:val="18"/>
          <w:color w:val="auto"/>
        </w:rPr>
      </w:pPr>
    </w:p>
    <w:p>
      <w:pPr>
        <w:ind w:left="540" w:right="580" w:firstLine="507"/>
        <w:spacing w:after="0" w:line="308" w:lineRule="auto"/>
        <w:tabs>
          <w:tab w:leader="none" w:pos="1237"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38" w:lineRule="exact"/>
        <w:rPr>
          <w:rFonts w:ascii="Arial" w:cs="Arial" w:eastAsia="Arial" w:hAnsi="Arial"/>
          <w:sz w:val="17"/>
          <w:szCs w:val="17"/>
          <w:color w:val="auto"/>
        </w:rPr>
      </w:pPr>
    </w:p>
    <w:p>
      <w:pPr>
        <w:ind w:left="540" w:right="300" w:firstLine="518"/>
        <w:spacing w:after="0" w:line="277" w:lineRule="auto"/>
        <w:tabs>
          <w:tab w:leader="none" w:pos="1247"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PCA’s internal control over financial reporting.</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 Mundy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_______________________________________</w:t>
      </w:r>
    </w:p>
    <w:p>
      <w:pPr>
        <w:spacing w:after="0" w:line="112" w:lineRule="exact"/>
        <w:rPr>
          <w:sz w:val="20"/>
          <w:szCs w:val="20"/>
          <w:color w:val="auto"/>
        </w:rPr>
      </w:pPr>
    </w:p>
    <w:p>
      <w:pPr>
        <w:ind w:right="520" w:firstLine="395"/>
        <w:spacing w:after="0" w:line="277" w:lineRule="auto"/>
        <w:rPr>
          <w:sz w:val="20"/>
          <w:szCs w:val="20"/>
          <w:color w:val="auto"/>
        </w:rPr>
      </w:pPr>
      <w:r>
        <w:rPr>
          <w:rFonts w:ascii="Arial" w:cs="Arial" w:eastAsia="Arial" w:hAnsi="Arial"/>
          <w:sz w:val="18"/>
          <w:szCs w:val="18"/>
          <w:color w:val="auto"/>
        </w:rPr>
        <w:t>I, Mark W. Kowlzan, Chief Executive Officer of Packaging Corporation of America (the “Company”), certify, pursuant to 18 U.S.C. § 1350, as adopted pursuant to Section 906 of the Sarbanes-Oxley Act of 2002, that to my knowledge:</w:t>
      </w:r>
    </w:p>
    <w:p>
      <w:pPr>
        <w:spacing w:after="0" w:line="62" w:lineRule="exact"/>
        <w:rPr>
          <w:sz w:val="20"/>
          <w:szCs w:val="20"/>
          <w:color w:val="auto"/>
        </w:rPr>
      </w:pPr>
    </w:p>
    <w:p>
      <w:pPr>
        <w:ind w:left="400" w:right="800" w:firstLine="385"/>
        <w:spacing w:after="0" w:line="277" w:lineRule="auto"/>
        <w:tabs>
          <w:tab w:leader="none" w:pos="10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March 31, 2021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00" w:right="420" w:firstLine="385"/>
        <w:spacing w:after="0" w:line="277" w:lineRule="auto"/>
        <w:tabs>
          <w:tab w:leader="none" w:pos="10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such Report fairly presents, in all material respects, the financial condition and results of operations of the 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W. Kowlzan</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395"/>
        <w:spacing w:after="0" w:line="277" w:lineRule="auto"/>
        <w:rPr>
          <w:sz w:val="20"/>
          <w:szCs w:val="20"/>
          <w:color w:val="auto"/>
        </w:rPr>
      </w:pPr>
      <w:r>
        <w:rPr>
          <w:rFonts w:ascii="Arial" w:cs="Arial" w:eastAsia="Arial" w:hAnsi="Arial"/>
          <w:sz w:val="18"/>
          <w:szCs w:val="18"/>
          <w:color w:val="auto"/>
        </w:rPr>
        <w:t>I, Robert P. Mundy, Chief Financial Officer of Packaging Corporation of America (the “Company”), certify, pursuant to 18 U.S.C. § 1350, as adopted pursuant to Section 906 of the Sarbanes-Oxley Act of 2002, that to my knowledge:</w:t>
      </w:r>
    </w:p>
    <w:p>
      <w:pPr>
        <w:spacing w:after="0" w:line="62" w:lineRule="exact"/>
        <w:rPr>
          <w:sz w:val="20"/>
          <w:szCs w:val="20"/>
          <w:color w:val="auto"/>
        </w:rPr>
      </w:pPr>
    </w:p>
    <w:p>
      <w:pPr>
        <w:ind w:left="400" w:right="800" w:firstLine="385"/>
        <w:spacing w:after="0" w:line="277" w:lineRule="auto"/>
        <w:tabs>
          <w:tab w:leader="none" w:pos="10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March 31, 2021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00" w:right="420" w:firstLine="385"/>
        <w:spacing w:after="0" w:line="277" w:lineRule="auto"/>
        <w:tabs>
          <w:tab w:leader="none" w:pos="10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such Report fairly presents, in all material respects, the financial condition and results of operations of the 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 Mundy</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decimal"/>
      <w:start w:val="6"/>
    </w:lvl>
  </w:abstractNum>
  <w:abstractNum w:abstractNumId="9">
    <w:nsid w:val="79838CB2"/>
    <w:multiLevelType w:val="hybridMultilevel"/>
    <w:lvl w:ilvl="0">
      <w:lvlJc w:val="left"/>
      <w:lvlText w:val="%1."/>
      <w:numFmt w:val="decimal"/>
      <w:start w:val="7"/>
    </w:lvl>
  </w:abstractNum>
  <w:abstractNum w:abstractNumId="10">
    <w:nsid w:val="4353D0CD"/>
    <w:multiLevelType w:val="hybridMultilevel"/>
    <w:lvl w:ilvl="0">
      <w:lvlJc w:val="left"/>
      <w:lvlText w:val="%1."/>
      <w:numFmt w:val="decimal"/>
      <w:start w:val="8"/>
    </w:lvl>
  </w:abstractNum>
  <w:abstractNum w:abstractNumId="11">
    <w:nsid w:val="B03E0C6"/>
    <w:multiLevelType w:val="hybridMultilevel"/>
    <w:lvl w:ilvl="0">
      <w:lvlJc w:val="left"/>
      <w:lvlText w:val="%1."/>
      <w:numFmt w:val="decimal"/>
      <w:start w:val="9"/>
    </w:lvl>
  </w:abstractNum>
  <w:abstractNum w:abstractNumId="12">
    <w:nsid w:val="189A769B"/>
    <w:multiLevelType w:val="hybridMultilevel"/>
    <w:lvl w:ilvl="0">
      <w:lvlJc w:val="left"/>
      <w:lvlText w:val="%1."/>
      <w:numFmt w:val="decimal"/>
      <w:start w:val="10"/>
    </w:lvl>
  </w:abstractNum>
  <w:abstractNum w:abstractNumId="13">
    <w:nsid w:val="54E49EB4"/>
    <w:multiLevelType w:val="hybridMultilevel"/>
    <w:lvl w:ilvl="0">
      <w:lvlJc w:val="left"/>
      <w:lvlText w:val="%1."/>
      <w:numFmt w:val="decimal"/>
      <w:start w:val="11"/>
    </w:lvl>
  </w:abstractNum>
  <w:abstractNum w:abstractNumId="14">
    <w:nsid w:val="71F32454"/>
    <w:multiLevelType w:val="hybridMultilevel"/>
    <w:lvl w:ilvl="0">
      <w:lvlJc w:val="left"/>
      <w:lvlText w:val="%1."/>
      <w:numFmt w:val="decimal"/>
      <w:start w:val="12"/>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decimal"/>
      <w:start w:val="1"/>
    </w:lvl>
    <w:lvl w:ilvl="1">
      <w:lvlJc w:val="left"/>
      <w:lvlText w:val="(%2)"/>
      <w:numFmt w:val="lowerLetter"/>
      <w:start w:val="3"/>
    </w:lvl>
  </w:abstractNum>
  <w:abstractNum w:abstractNumId="17">
    <w:nsid w:val="2901D82"/>
    <w:multiLevelType w:val="hybridMultilevel"/>
    <w:lvl w:ilvl="0">
      <w:lvlJc w:val="left"/>
      <w:lvlText w:val="%1."/>
      <w:numFmt w:val="decimal"/>
      <w:start w:val="13"/>
    </w:lvl>
    <w:lvl w:ilvl="1">
      <w:lvlJc w:val="left"/>
      <w:lvlText w:val="%2"/>
      <w:numFmt w:val="lowerLetter"/>
      <w:start w:val="1"/>
    </w:lvl>
  </w:abstractNum>
  <w:abstractNum w:abstractNumId="18">
    <w:nsid w:val="3A95F874"/>
    <w:multiLevelType w:val="hybridMultilevel"/>
    <w:lvl w:ilvl="0">
      <w:lvlJc w:val="left"/>
      <w:lvlText w:val="%1."/>
      <w:numFmt w:val="decimal"/>
      <w:start w:val="14"/>
    </w:lvl>
  </w:abstractNum>
  <w:abstractNum w:abstractNumId="19">
    <w:nsid w:val="8138641"/>
    <w:multiLevelType w:val="hybridMultilevel"/>
    <w:lvl w:ilvl="0">
      <w:lvlJc w:val="left"/>
      <w:lvlText w:val="%1."/>
      <w:numFmt w:val="decimal"/>
      <w:start w:val="15"/>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decimal"/>
      <w:start w:val="16"/>
    </w:lvl>
  </w:abstractNum>
  <w:abstractNum w:abstractNumId="22">
    <w:nsid w:val="737B8DDC"/>
    <w:multiLevelType w:val="hybridMultilevel"/>
    <w:lvl w:ilvl="0">
      <w:lvlJc w:val="left"/>
      <w:lvlText w:val="%1."/>
      <w:numFmt w:val="decimal"/>
      <w:start w:val="17"/>
    </w:lvl>
  </w:abstractNum>
  <w:abstractNum w:abstractNumId="23">
    <w:nsid w:val="6CEAF087"/>
    <w:multiLevelType w:val="hybridMultilevel"/>
    <w:lvl w:ilvl="0">
      <w:lvlJc w:val="left"/>
      <w:lvlText w:val="%1."/>
      <w:numFmt w:val="decimal"/>
      <w:start w:val="18"/>
    </w:lvl>
  </w:abstractNum>
  <w:abstractNum w:abstractNumId="24">
    <w:nsid w:val="22221A70"/>
    <w:multiLevelType w:val="hybridMultilevel"/>
    <w:lvl w:ilvl="0">
      <w:lvlJc w:val="left"/>
      <w:lvlText w:val="(%1)"/>
      <w:numFmt w:val="lowerLetter"/>
      <w:start w:val="1"/>
    </w:lvl>
    <w:lvl w:ilvl="1">
      <w:lvlJc w:val="left"/>
      <w:lvlText w:val="%2."/>
      <w:numFmt w:val="decimal"/>
      <w:start w:val="1"/>
    </w:lvl>
  </w:abstractNum>
  <w:abstractNum w:abstractNumId="25">
    <w:nsid w:val="4516DDE9"/>
    <w:multiLevelType w:val="hybridMultilevel"/>
    <w:lvl w:ilvl="0">
      <w:lvlJc w:val="left"/>
      <w:lvlText w:val="%1."/>
      <w:numFmt w:val="decimal"/>
      <w:start w:val="19"/>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32"/>
    </w:lvl>
  </w:abstractNum>
  <w:abstractNum w:abstractNumId="33">
    <w:nsid w:val="77465F01"/>
    <w:multiLevelType w:val="hybridMultilevel"/>
    <w:lvl w:ilvl="0">
      <w:lvlJc w:val="left"/>
      <w:lvlText w:val="%1"/>
      <w:numFmt w:val="decimal"/>
      <w:start w:val="104"/>
    </w:lvl>
  </w:abstractNum>
  <w:abstractNum w:abstractNumId="34">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6">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2021-05-05T09:02:35Z</dcterms:created>
  <dcterms:modified xsi:type="dcterms:W3CDTF">2021-05-05T09:02:35Z</dcterms:modified>
</cp:coreProperties>
</file>